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DA9" w:rsidRDefault="00A264BC" w:rsidP="00441290">
      <w:pPr>
        <w:spacing w:line="480" w:lineRule="exact"/>
        <w:jc w:val="center"/>
        <w:rPr>
          <w:rFonts w:ascii="仿宋" w:eastAsia="仿宋" w:hAnsi="仿宋" w:cs="Times New Roman"/>
          <w:b/>
          <w:sz w:val="30"/>
          <w:szCs w:val="30"/>
        </w:rPr>
      </w:pPr>
      <w:r w:rsidRPr="00F944D1">
        <w:rPr>
          <w:rFonts w:ascii="仿宋" w:eastAsia="仿宋" w:hAnsi="仿宋" w:cs="Times New Roman" w:hint="eastAsia"/>
          <w:b/>
          <w:sz w:val="30"/>
          <w:szCs w:val="30"/>
        </w:rPr>
        <w:t>生物科学与工程学院</w:t>
      </w:r>
      <w:r w:rsidRPr="00F944D1">
        <w:rPr>
          <w:rFonts w:ascii="仿宋" w:eastAsia="仿宋" w:hAnsi="仿宋" w:cs="Times New Roman"/>
          <w:b/>
          <w:sz w:val="30"/>
          <w:szCs w:val="30"/>
        </w:rPr>
        <w:t>研究生</w:t>
      </w:r>
      <w:r w:rsidRPr="00F944D1">
        <w:rPr>
          <w:rFonts w:ascii="仿宋" w:eastAsia="仿宋" w:hAnsi="仿宋" w:cs="Times New Roman" w:hint="eastAsia"/>
          <w:b/>
          <w:sz w:val="30"/>
          <w:szCs w:val="30"/>
        </w:rPr>
        <w:t>国家奖学金实施细则</w:t>
      </w:r>
    </w:p>
    <w:p w:rsidR="00F944D1" w:rsidRPr="00F944D1" w:rsidRDefault="00F944D1" w:rsidP="00441290">
      <w:pPr>
        <w:spacing w:line="480" w:lineRule="exact"/>
        <w:jc w:val="center"/>
        <w:rPr>
          <w:rFonts w:ascii="仿宋" w:eastAsia="仿宋" w:hAnsi="仿宋" w:cs="Times New Roman"/>
          <w:b/>
          <w:sz w:val="30"/>
          <w:szCs w:val="30"/>
        </w:rPr>
      </w:pP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根据《财政部 教育部关于印发&lt;研究生国家奖学金管理暂行办法&gt;的通知》（财教〔2012〕342号）、《教育部 财政部关于印发&lt;普通高等学校研究生国家奖学金评审办法&gt;的通知》（教财〔2014〕1号）和《关于印发&lt;华南理工大学研究生国家奖学金评审实施细则（试行）&gt;的通知》（华南工研〔2014〕59号）（以下简称“细则”）有关精神，为做好我院研究生国家奖学金评定工作，进一步发挥国家奖学金的激励作用，激励我院研究生勤奋学习积极进取，更好地促进研究生培养质量的提高，结合我院实际情况，特制定本评选办法。</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一、奖励标准</w:t>
      </w:r>
    </w:p>
    <w:p w:rsidR="00061DA9" w:rsidRPr="00F944D1" w:rsidRDefault="00A264BC" w:rsidP="00441290">
      <w:pPr>
        <w:adjustRightInd w:val="0"/>
        <w:snapToGrid w:val="0"/>
        <w:spacing w:line="480" w:lineRule="exact"/>
        <w:ind w:firstLineChars="200" w:firstLine="560"/>
        <w:rPr>
          <w:rFonts w:ascii="仿宋" w:eastAsia="仿宋" w:hAnsi="仿宋" w:cs="Times New Roman"/>
          <w:b/>
          <w:sz w:val="28"/>
          <w:szCs w:val="28"/>
        </w:rPr>
      </w:pPr>
      <w:r w:rsidRPr="00F944D1">
        <w:rPr>
          <w:rFonts w:ascii="仿宋" w:eastAsia="仿宋" w:hAnsi="仿宋" w:cs="Times New Roman" w:hint="eastAsia"/>
          <w:sz w:val="28"/>
          <w:szCs w:val="28"/>
        </w:rPr>
        <w:t>研究生国家奖学金由中央财政出资设立，用于奖励学业成绩特别优秀、科学研究成果显著、社会公益活动表现突出、在各类专业竞赛中获得优异成绩的研究生。</w:t>
      </w:r>
    </w:p>
    <w:p w:rsidR="00061DA9" w:rsidRPr="00F944D1" w:rsidRDefault="00A264BC" w:rsidP="00441290">
      <w:pPr>
        <w:pStyle w:val="1"/>
        <w:numPr>
          <w:ilvl w:val="0"/>
          <w:numId w:val="1"/>
        </w:numPr>
        <w:adjustRightInd w:val="0"/>
        <w:snapToGrid w:val="0"/>
        <w:spacing w:line="480" w:lineRule="exact"/>
        <w:ind w:firstLineChars="0"/>
        <w:rPr>
          <w:rFonts w:ascii="仿宋" w:eastAsia="仿宋" w:hAnsi="仿宋" w:cs="Times New Roman"/>
          <w:b/>
          <w:sz w:val="28"/>
          <w:szCs w:val="28"/>
        </w:rPr>
      </w:pPr>
      <w:r w:rsidRPr="00F944D1">
        <w:rPr>
          <w:rFonts w:ascii="仿宋" w:eastAsia="仿宋" w:hAnsi="仿宋" w:cs="Times New Roman" w:hint="eastAsia"/>
          <w:b/>
          <w:sz w:val="28"/>
          <w:szCs w:val="28"/>
        </w:rPr>
        <w:t>硕士研究生</w:t>
      </w:r>
    </w:p>
    <w:p w:rsidR="00061DA9" w:rsidRPr="00F944D1" w:rsidRDefault="00A264BC" w:rsidP="00441290">
      <w:pPr>
        <w:adjustRightInd w:val="0"/>
        <w:snapToGrid w:val="0"/>
        <w:spacing w:line="480" w:lineRule="exact"/>
        <w:ind w:firstLineChars="200" w:firstLine="560"/>
        <w:rPr>
          <w:rFonts w:ascii="仿宋" w:eastAsia="仿宋" w:hAnsi="仿宋" w:cs="Times New Roman"/>
          <w:b/>
          <w:color w:val="FF0000"/>
          <w:sz w:val="28"/>
          <w:szCs w:val="28"/>
        </w:rPr>
      </w:pPr>
      <w:r w:rsidRPr="00F944D1">
        <w:rPr>
          <w:rFonts w:ascii="仿宋" w:eastAsia="仿宋" w:hAnsi="仿宋" w:cs="Times New Roman" w:hint="eastAsia"/>
          <w:sz w:val="28"/>
          <w:szCs w:val="28"/>
        </w:rPr>
        <w:t>硕士研究生国家奖学金奖励标准为每生每年</w:t>
      </w:r>
      <w:r w:rsidRPr="00F944D1">
        <w:rPr>
          <w:rFonts w:ascii="仿宋" w:eastAsia="仿宋" w:hAnsi="仿宋" w:cs="Times New Roman"/>
          <w:sz w:val="28"/>
          <w:szCs w:val="28"/>
        </w:rPr>
        <w:t>2</w:t>
      </w:r>
      <w:r w:rsidRPr="00F944D1">
        <w:rPr>
          <w:rFonts w:ascii="仿宋" w:eastAsia="仿宋" w:hAnsi="仿宋" w:cs="Times New Roman" w:hint="eastAsia"/>
          <w:sz w:val="28"/>
          <w:szCs w:val="28"/>
        </w:rPr>
        <w:t>万元，具体名额参照学校当年通知。硕士研究生国家奖学金名额全部由学院评审确定获奖人员报学校审核。</w:t>
      </w:r>
    </w:p>
    <w:p w:rsidR="00061DA9" w:rsidRPr="00F944D1" w:rsidRDefault="00A264BC" w:rsidP="00441290">
      <w:pPr>
        <w:pStyle w:val="1"/>
        <w:numPr>
          <w:ilvl w:val="0"/>
          <w:numId w:val="1"/>
        </w:numPr>
        <w:adjustRightInd w:val="0"/>
        <w:snapToGrid w:val="0"/>
        <w:spacing w:line="480" w:lineRule="exact"/>
        <w:ind w:firstLineChars="0"/>
        <w:rPr>
          <w:rFonts w:ascii="仿宋" w:eastAsia="仿宋" w:hAnsi="仿宋" w:cs="Times New Roman"/>
          <w:b/>
          <w:sz w:val="28"/>
          <w:szCs w:val="28"/>
        </w:rPr>
      </w:pPr>
      <w:r w:rsidRPr="00F944D1">
        <w:rPr>
          <w:rFonts w:ascii="仿宋" w:eastAsia="仿宋" w:hAnsi="仿宋" w:cs="Times New Roman" w:hint="eastAsia"/>
          <w:b/>
          <w:sz w:val="28"/>
          <w:szCs w:val="28"/>
        </w:rPr>
        <w:t>博士研究生</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1．博士研究生国家奖学金名额分为基本名额和推荐名额。基本名额由学院评审确定获奖人员报学校审核；推荐名额由学院提出推荐人，学校统一组织评审确定。</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2</w:t>
      </w:r>
      <w:r w:rsidRPr="00F944D1">
        <w:rPr>
          <w:rFonts w:ascii="仿宋" w:eastAsia="仿宋" w:hAnsi="仿宋" w:cs="Times New Roman" w:hint="eastAsia"/>
          <w:sz w:val="28"/>
          <w:szCs w:val="28"/>
        </w:rPr>
        <w:t>．博士研究生国家奖学金奖励标准为每生每年</w:t>
      </w:r>
      <w:r w:rsidRPr="00F944D1">
        <w:rPr>
          <w:rFonts w:ascii="仿宋" w:eastAsia="仿宋" w:hAnsi="仿宋" w:cs="Times New Roman"/>
          <w:sz w:val="28"/>
          <w:szCs w:val="28"/>
        </w:rPr>
        <w:t>3</w:t>
      </w:r>
      <w:r w:rsidRPr="00F944D1">
        <w:rPr>
          <w:rFonts w:ascii="仿宋" w:eastAsia="仿宋" w:hAnsi="仿宋" w:cs="Times New Roman" w:hint="eastAsia"/>
          <w:sz w:val="28"/>
          <w:szCs w:val="28"/>
        </w:rPr>
        <w:t>万元，具体名额参照学校当年通知。</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二、组织与实施机构</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学院成立研究生国家奖学金评审工作小组，该小组由学院党政负责人、研究生级主任、研究生辅导员、导师代表和学生代表等组成，负责学院研究生国家奖学金细则的制定、申请组织、初步评审等工作。</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三、参评对象</w:t>
      </w:r>
    </w:p>
    <w:p w:rsidR="00061DA9" w:rsidRPr="00F944D1" w:rsidRDefault="00A264BC" w:rsidP="00441290">
      <w:pPr>
        <w:adjustRightInd w:val="0"/>
        <w:snapToGrid w:val="0"/>
        <w:spacing w:line="480" w:lineRule="exact"/>
        <w:ind w:firstLineChars="196" w:firstLine="549"/>
        <w:rPr>
          <w:rFonts w:ascii="仿宋" w:eastAsia="仿宋" w:hAnsi="仿宋" w:cs="Times New Roman"/>
          <w:b/>
          <w:sz w:val="28"/>
          <w:szCs w:val="28"/>
        </w:rPr>
      </w:pPr>
      <w:r w:rsidRPr="00F944D1">
        <w:rPr>
          <w:rFonts w:ascii="仿宋" w:eastAsia="仿宋" w:hAnsi="仿宋" w:cs="Times New Roman" w:hint="eastAsia"/>
          <w:sz w:val="28"/>
          <w:szCs w:val="28"/>
        </w:rPr>
        <w:lastRenderedPageBreak/>
        <w:t>1、所有我校具有中华人民共和国国籍且纳入全国研究生招生计划全日制全脱产在读研究生（含少数民族骨干计划、强军计划、国防生）均有资格申请。当年8月31日前已毕业的研究生不再具备申请研究生国家奖学金资格。</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直博生和招生简章中注明不授予中间学位的本硕博、硕博连读研究生，根据当年所修课程的层次阶段确定身份参与国家奖学金的评审。在选修硕士研究生课程阶段按照硕士研究生身份参与评审；进入选修博士研究生课程阶段按照博士研究生身份参与评审。</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四、评定条件</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（一）基本条件</w:t>
      </w:r>
    </w:p>
    <w:p w:rsidR="00061DA9" w:rsidRPr="00F944D1" w:rsidRDefault="00A264BC" w:rsidP="00441290">
      <w:pPr>
        <w:adjustRightInd w:val="0"/>
        <w:snapToGrid w:val="0"/>
        <w:spacing w:line="480" w:lineRule="exact"/>
        <w:ind w:firstLineChars="221" w:firstLine="619"/>
        <w:rPr>
          <w:rFonts w:ascii="仿宋" w:eastAsia="仿宋" w:hAnsi="仿宋" w:cs="Times New Roman"/>
          <w:sz w:val="28"/>
          <w:szCs w:val="28"/>
        </w:rPr>
      </w:pPr>
      <w:r w:rsidRPr="00F944D1">
        <w:rPr>
          <w:rFonts w:ascii="仿宋" w:eastAsia="仿宋" w:hAnsi="仿宋" w:cs="Times New Roman"/>
          <w:sz w:val="28"/>
          <w:szCs w:val="28"/>
        </w:rPr>
        <w:t>1</w:t>
      </w:r>
      <w:r w:rsidRPr="00F944D1">
        <w:rPr>
          <w:rFonts w:ascii="仿宋" w:eastAsia="仿宋" w:hAnsi="仿宋" w:cs="Times New Roman" w:hint="eastAsia"/>
          <w:sz w:val="28"/>
          <w:szCs w:val="28"/>
        </w:rPr>
        <w:t>、热爱社会主义祖国，拥护中国共产党的领导；</w:t>
      </w:r>
    </w:p>
    <w:p w:rsidR="00061DA9" w:rsidRPr="00F944D1" w:rsidRDefault="00A264BC" w:rsidP="00441290">
      <w:pPr>
        <w:adjustRightInd w:val="0"/>
        <w:snapToGrid w:val="0"/>
        <w:spacing w:line="480" w:lineRule="exact"/>
        <w:ind w:firstLineChars="221" w:firstLine="619"/>
        <w:rPr>
          <w:rFonts w:ascii="仿宋" w:eastAsia="仿宋" w:hAnsi="仿宋" w:cs="Times New Roman"/>
          <w:sz w:val="28"/>
          <w:szCs w:val="28"/>
        </w:rPr>
      </w:pPr>
      <w:r w:rsidRPr="00F944D1">
        <w:rPr>
          <w:rFonts w:ascii="仿宋" w:eastAsia="仿宋" w:hAnsi="仿宋" w:cs="Times New Roman"/>
          <w:sz w:val="28"/>
          <w:szCs w:val="28"/>
        </w:rPr>
        <w:t>2</w:t>
      </w:r>
      <w:r w:rsidRPr="00F944D1">
        <w:rPr>
          <w:rFonts w:ascii="仿宋" w:eastAsia="仿宋" w:hAnsi="仿宋" w:cs="Times New Roman" w:hint="eastAsia"/>
          <w:sz w:val="28"/>
          <w:szCs w:val="28"/>
        </w:rPr>
        <w:t>、遵守宪法和法律，遵守学校规章制度；</w:t>
      </w:r>
    </w:p>
    <w:p w:rsidR="00061DA9" w:rsidRPr="00F944D1" w:rsidRDefault="00A264BC" w:rsidP="00441290">
      <w:pPr>
        <w:adjustRightInd w:val="0"/>
        <w:snapToGrid w:val="0"/>
        <w:spacing w:line="480" w:lineRule="exact"/>
        <w:ind w:firstLineChars="221" w:firstLine="619"/>
        <w:rPr>
          <w:rFonts w:ascii="仿宋" w:eastAsia="仿宋" w:hAnsi="仿宋" w:cs="Times New Roman"/>
          <w:sz w:val="28"/>
          <w:szCs w:val="28"/>
        </w:rPr>
      </w:pPr>
      <w:r w:rsidRPr="00F944D1">
        <w:rPr>
          <w:rFonts w:ascii="仿宋" w:eastAsia="仿宋" w:hAnsi="仿宋" w:cs="Times New Roman"/>
          <w:sz w:val="28"/>
          <w:szCs w:val="28"/>
        </w:rPr>
        <w:t>3</w:t>
      </w:r>
      <w:r w:rsidRPr="00F944D1">
        <w:rPr>
          <w:rFonts w:ascii="仿宋" w:eastAsia="仿宋" w:hAnsi="仿宋" w:cs="Times New Roman" w:hint="eastAsia"/>
          <w:sz w:val="28"/>
          <w:szCs w:val="28"/>
        </w:rPr>
        <w:t>、诚实守信，道德品质优良；</w:t>
      </w:r>
    </w:p>
    <w:p w:rsidR="00061DA9" w:rsidRPr="00F944D1" w:rsidRDefault="00A264BC" w:rsidP="00441290">
      <w:pPr>
        <w:adjustRightInd w:val="0"/>
        <w:snapToGrid w:val="0"/>
        <w:spacing w:line="480" w:lineRule="exact"/>
        <w:ind w:firstLineChars="221" w:firstLine="619"/>
        <w:rPr>
          <w:rFonts w:ascii="仿宋" w:eastAsia="仿宋" w:hAnsi="仿宋" w:cs="Times New Roman"/>
          <w:sz w:val="28"/>
          <w:szCs w:val="28"/>
        </w:rPr>
      </w:pPr>
      <w:r w:rsidRPr="00F944D1">
        <w:rPr>
          <w:rFonts w:ascii="仿宋" w:eastAsia="仿宋" w:hAnsi="仿宋" w:cs="Times New Roman"/>
          <w:sz w:val="28"/>
          <w:szCs w:val="28"/>
        </w:rPr>
        <w:t>4</w:t>
      </w:r>
      <w:r w:rsidRPr="00F944D1">
        <w:rPr>
          <w:rFonts w:ascii="仿宋" w:eastAsia="仿宋" w:hAnsi="仿宋" w:cs="Times New Roman" w:hint="eastAsia"/>
          <w:sz w:val="28"/>
          <w:szCs w:val="28"/>
        </w:rPr>
        <w:t>、学习成绩优异，科研能力显著，发展潜力突出；或学习成绩优良，在国际、全国性大学生高水平专业竞赛中取得优异成绩者；或学习成绩优良，担任学生干部，积极参与组织学校各类活动和社会实践，做出突出贡献者；</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5、二年级硕士研究生课业成绩，专业总人数少于或等于5人，须在本专业内排名前40%；专业总人数多于5人，须在本专业内排名前30%，方可参评（遇小数点按四舍五入取整计算）。</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6、研究生出现以下任一情况，不具备当年研究生国家奖学金参评资格：</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w:t>
      </w:r>
      <w:r w:rsidRPr="00F944D1">
        <w:rPr>
          <w:rFonts w:ascii="仿宋" w:eastAsia="仿宋" w:hAnsi="仿宋" w:cs="Times New Roman"/>
          <w:sz w:val="28"/>
          <w:szCs w:val="28"/>
        </w:rPr>
        <w:t>1</w:t>
      </w:r>
      <w:r w:rsidRPr="00F944D1">
        <w:rPr>
          <w:rFonts w:ascii="仿宋" w:eastAsia="仿宋" w:hAnsi="仿宋" w:cs="Times New Roman" w:hint="eastAsia"/>
          <w:sz w:val="28"/>
          <w:szCs w:val="28"/>
        </w:rPr>
        <w:t>）参评学年违反国家法律法规、校纪校规受到纪律处分者；</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w:t>
      </w:r>
      <w:r w:rsidRPr="00F944D1">
        <w:rPr>
          <w:rFonts w:ascii="仿宋" w:eastAsia="仿宋" w:hAnsi="仿宋" w:cs="Times New Roman"/>
          <w:sz w:val="28"/>
          <w:szCs w:val="28"/>
        </w:rPr>
        <w:t>2</w:t>
      </w:r>
      <w:r w:rsidRPr="00F944D1">
        <w:rPr>
          <w:rFonts w:ascii="仿宋" w:eastAsia="仿宋" w:hAnsi="仿宋" w:cs="Times New Roman" w:hint="eastAsia"/>
          <w:sz w:val="28"/>
          <w:szCs w:val="28"/>
        </w:rPr>
        <w:t>）参评学年有抄袭剽窃、弄虚作假等学术不端行为经查证属实者；</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w:t>
      </w:r>
      <w:r w:rsidRPr="00F944D1">
        <w:rPr>
          <w:rFonts w:ascii="仿宋" w:eastAsia="仿宋" w:hAnsi="仿宋" w:cs="Times New Roman"/>
          <w:sz w:val="28"/>
          <w:szCs w:val="28"/>
        </w:rPr>
        <w:t>3</w:t>
      </w:r>
      <w:r w:rsidRPr="00F944D1">
        <w:rPr>
          <w:rFonts w:ascii="仿宋" w:eastAsia="仿宋" w:hAnsi="仿宋" w:cs="Times New Roman" w:hint="eastAsia"/>
          <w:sz w:val="28"/>
          <w:szCs w:val="28"/>
        </w:rPr>
        <w:t>）参评学年学籍状态处于休学者（在学制期限内，因国家和学校公派出国留学或校际交流在境外学习的研究生除外）或保留学籍者；</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（4）入学后无故缺席或早退学校、学院重大活动累计达三次及</w:t>
      </w:r>
      <w:r w:rsidRPr="00F944D1">
        <w:rPr>
          <w:rFonts w:ascii="仿宋" w:eastAsia="仿宋" w:hAnsi="仿宋" w:cs="Times New Roman" w:hint="eastAsia"/>
          <w:sz w:val="28"/>
          <w:szCs w:val="28"/>
        </w:rPr>
        <w:lastRenderedPageBreak/>
        <w:t>以上者（以班干部保存的现场签名记录为准，活动前上交附有导师签字请假条者除外）。</w:t>
      </w:r>
    </w:p>
    <w:p w:rsidR="00061DA9" w:rsidRPr="00F944D1" w:rsidRDefault="00A264BC" w:rsidP="00441290">
      <w:pPr>
        <w:adjustRightInd w:val="0"/>
        <w:snapToGrid w:val="0"/>
        <w:spacing w:line="480" w:lineRule="exact"/>
        <w:ind w:firstLineChars="150" w:firstLine="420"/>
        <w:rPr>
          <w:rFonts w:ascii="仿宋" w:eastAsia="仿宋" w:hAnsi="仿宋" w:cs="Times New Roman"/>
          <w:sz w:val="28"/>
          <w:szCs w:val="28"/>
        </w:rPr>
      </w:pPr>
      <w:r w:rsidRPr="00F944D1">
        <w:rPr>
          <w:rFonts w:ascii="仿宋" w:eastAsia="仿宋" w:hAnsi="仿宋" w:cs="Times New Roman" w:hint="eastAsia"/>
          <w:sz w:val="28"/>
          <w:szCs w:val="28"/>
        </w:rPr>
        <w:t xml:space="preserve"> 已经获得研究生国家奖学金如发现有上述情况者，将撤销其奖学金获奖资格，并收回获奖证书和奖学金。</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（二）国家奖学金与部分奖学金不重复授予原则</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1、研究生国家奖学金获得者不能同时享受企业捐赠奖助学金，但可同时享受研究生二等或三等学业奖学金，具体参照学校当年通知要求。</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2、博士研究生如获评国家奖学金可同时申请“优博创新基金”资助，奖金按两个奖项中的最高资助标准发放其中一项。</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五、评选积分核算办法</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（一）所有成果申报材料的有效期截止到当年</w:t>
      </w:r>
      <w:r w:rsidRPr="00F944D1">
        <w:rPr>
          <w:rFonts w:ascii="仿宋" w:eastAsia="仿宋" w:hAnsi="仿宋" w:cs="Times New Roman"/>
          <w:b/>
          <w:sz w:val="28"/>
          <w:szCs w:val="28"/>
        </w:rPr>
        <w:t>8</w:t>
      </w:r>
      <w:r w:rsidRPr="00F944D1">
        <w:rPr>
          <w:rFonts w:ascii="仿宋" w:eastAsia="仿宋" w:hAnsi="仿宋" w:cs="Times New Roman" w:hint="eastAsia"/>
          <w:b/>
          <w:sz w:val="28"/>
          <w:szCs w:val="28"/>
        </w:rPr>
        <w:t>月</w:t>
      </w:r>
      <w:r w:rsidRPr="00F944D1">
        <w:rPr>
          <w:rFonts w:ascii="仿宋" w:eastAsia="仿宋" w:hAnsi="仿宋" w:cs="Times New Roman"/>
          <w:b/>
          <w:sz w:val="28"/>
          <w:szCs w:val="28"/>
        </w:rPr>
        <w:t>31</w:t>
      </w:r>
      <w:r w:rsidRPr="00F944D1">
        <w:rPr>
          <w:rFonts w:ascii="仿宋" w:eastAsia="仿宋" w:hAnsi="仿宋" w:cs="Times New Roman" w:hint="eastAsia"/>
          <w:b/>
          <w:sz w:val="28"/>
          <w:szCs w:val="28"/>
        </w:rPr>
        <w:t>日；上一年已成功申报过研究生国家奖学金的成果不能重复使用，如有违反，取消当年评优资格，并给予全院通报批评。</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（二）学术论文积分</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发表在被三大索引收录刊物以及研究生院认定奖励刊物上的论文参加评优时，其篇数不设限制；发表在其他核心期刊时，二年级研究生申报的论文限于2篇，三年级研究生申报的论文限于3篇。统计源、核心期刊增刊及其以下级别论文不能参与论文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w:t>
      </w:r>
      <w:r w:rsidRPr="00F944D1">
        <w:rPr>
          <w:rFonts w:ascii="仿宋" w:eastAsia="仿宋" w:hAnsi="仿宋" w:cs="Times New Roman"/>
          <w:sz w:val="28"/>
          <w:szCs w:val="28"/>
        </w:rPr>
        <w:t>三大索引论文加分：</w:t>
      </w:r>
    </w:p>
    <w:p w:rsidR="00061DA9" w:rsidRPr="00F944D1" w:rsidRDefault="00412662" w:rsidP="00441290">
      <w:pPr>
        <w:spacing w:line="4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根据科睿唯安（原汤森路透）分区标准</w:t>
      </w:r>
      <w:bookmarkStart w:id="0" w:name="_GoBack"/>
      <w:bookmarkEnd w:id="0"/>
      <w:r w:rsidR="00A264BC" w:rsidRPr="00F944D1">
        <w:rPr>
          <w:rFonts w:ascii="仿宋" w:eastAsia="仿宋" w:hAnsi="仿宋" w:cs="Times New Roman" w:hint="eastAsia"/>
          <w:sz w:val="28"/>
          <w:szCs w:val="28"/>
        </w:rPr>
        <w:t>，按大类分区</w:t>
      </w:r>
      <w:r w:rsidR="00A264BC" w:rsidRPr="00F944D1">
        <w:rPr>
          <w:rFonts w:ascii="仿宋" w:eastAsia="仿宋" w:hAnsi="仿宋" w:cs="Times New Roman"/>
          <w:sz w:val="28"/>
          <w:szCs w:val="28"/>
        </w:rPr>
        <w:t>给予加分</w:t>
      </w:r>
      <w:r w:rsidR="00A264BC" w:rsidRPr="00F944D1">
        <w:rPr>
          <w:rFonts w:ascii="仿宋" w:eastAsia="仿宋" w:hAnsi="仿宋" w:cs="Times New Roman" w:hint="eastAsia"/>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在cell、nature、science三大杂志共同一作发表直接评定为国奖，不需评定；在影响因子达到20分以上的杂志共同发表论文亦可考虑上述模式，但是排名位于其后。在其他的重要SCI论文按JCR分区加分如下：</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一区：23分/篇；二区：15分/篇：三区：12分/篇；四区：8分/篇</w:t>
      </w:r>
      <w:r w:rsidRPr="00F944D1">
        <w:rPr>
          <w:rFonts w:ascii="仿宋" w:eastAsia="仿宋" w:hAnsi="仿宋" w:cs="Times New Roman" w:hint="eastAsia"/>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国内外SCI期刊录用，而暂未能在华南理工大学图书馆检索到的论文，一区、二区、三区论文加应加分的80%，四区论文加7分；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lastRenderedPageBreak/>
        <w:t>备注：SCI英文综述性论文加分按照上述SCI收录论文加分的1/2进行计算。</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EI</w:t>
      </w:r>
      <w:r w:rsidRPr="00F944D1">
        <w:rPr>
          <w:rFonts w:ascii="仿宋" w:eastAsia="仿宋" w:hAnsi="仿宋" w:cs="Times New Roman" w:hint="eastAsia"/>
          <w:sz w:val="28"/>
          <w:szCs w:val="28"/>
        </w:rPr>
        <w:t>文章加分：4分/篇；</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备注：国内</w:t>
      </w:r>
      <w:bookmarkStart w:id="1" w:name="OLE_LINK2"/>
      <w:bookmarkStart w:id="2" w:name="OLE_LINK1"/>
      <w:r w:rsidRPr="00F944D1">
        <w:rPr>
          <w:rFonts w:ascii="仿宋" w:eastAsia="仿宋" w:hAnsi="仿宋" w:cs="Times New Roman" w:hint="eastAsia"/>
          <w:sz w:val="28"/>
          <w:szCs w:val="28"/>
        </w:rPr>
        <w:t>外EI</w:t>
      </w:r>
      <w:bookmarkEnd w:id="1"/>
      <w:bookmarkEnd w:id="2"/>
      <w:r w:rsidRPr="00F944D1">
        <w:rPr>
          <w:rFonts w:ascii="仿宋" w:eastAsia="仿宋" w:hAnsi="仿宋" w:cs="Times New Roman" w:hint="eastAsia"/>
          <w:sz w:val="28"/>
          <w:szCs w:val="28"/>
        </w:rPr>
        <w:t>期刊的论文，须以华南理工大学图书馆出具的证明才给予认可，否则论文只按相应期刊的档次进行加分；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ISTP</w:t>
      </w:r>
      <w:r w:rsidRPr="00F944D1">
        <w:rPr>
          <w:rFonts w:ascii="仿宋" w:eastAsia="仿宋" w:hAnsi="仿宋" w:cs="Times New Roman" w:hint="eastAsia"/>
          <w:sz w:val="28"/>
          <w:szCs w:val="28"/>
        </w:rPr>
        <w:t>文章</w:t>
      </w:r>
      <w:r w:rsidRPr="00F944D1">
        <w:rPr>
          <w:rFonts w:ascii="仿宋" w:eastAsia="仿宋" w:hAnsi="仿宋" w:cs="Times New Roman"/>
          <w:sz w:val="28"/>
          <w:szCs w:val="28"/>
        </w:rPr>
        <w:t>加分：</w:t>
      </w:r>
      <w:r w:rsidRPr="00F944D1">
        <w:rPr>
          <w:rFonts w:ascii="仿宋" w:eastAsia="仿宋" w:hAnsi="仿宋" w:cs="Times New Roman" w:hint="eastAsia"/>
          <w:sz w:val="28"/>
          <w:szCs w:val="28"/>
        </w:rPr>
        <w:t>8/3</w:t>
      </w:r>
      <w:r w:rsidRPr="00F944D1">
        <w:rPr>
          <w:rFonts w:ascii="仿宋" w:eastAsia="仿宋" w:hAnsi="仿宋" w:cs="Times New Roman"/>
          <w:sz w:val="28"/>
          <w:szCs w:val="28"/>
        </w:rPr>
        <w:t>分/篇</w:t>
      </w:r>
      <w:r w:rsidRPr="00F944D1">
        <w:rPr>
          <w:rFonts w:ascii="仿宋" w:eastAsia="仿宋" w:hAnsi="仿宋" w:cs="Times New Roman" w:hint="eastAsia"/>
          <w:sz w:val="28"/>
          <w:szCs w:val="28"/>
        </w:rPr>
        <w:t>，具体各项加分详见表1</w:t>
      </w:r>
      <w:r w:rsidRPr="00F944D1">
        <w:rPr>
          <w:rFonts w:ascii="仿宋" w:eastAsia="仿宋" w:hAnsi="仿宋" w:cs="Times New Roman"/>
          <w:sz w:val="28"/>
          <w:szCs w:val="28"/>
        </w:rPr>
        <w:t>。</w:t>
      </w:r>
    </w:p>
    <w:p w:rsidR="00061DA9" w:rsidRPr="00F944D1" w:rsidRDefault="00A264BC" w:rsidP="00441290">
      <w:pPr>
        <w:spacing w:line="480" w:lineRule="exact"/>
        <w:jc w:val="center"/>
        <w:rPr>
          <w:rFonts w:ascii="仿宋" w:eastAsia="仿宋" w:hAnsi="仿宋" w:cs="Times New Roman"/>
          <w:b/>
          <w:sz w:val="28"/>
          <w:szCs w:val="28"/>
        </w:rPr>
      </w:pPr>
      <w:r w:rsidRPr="00F944D1">
        <w:rPr>
          <w:rFonts w:ascii="仿宋" w:eastAsia="仿宋" w:hAnsi="仿宋" w:cs="Times New Roman" w:hint="eastAsia"/>
          <w:b/>
          <w:sz w:val="28"/>
          <w:szCs w:val="28"/>
        </w:rPr>
        <w:t>表1 论文计分表</w:t>
      </w:r>
    </w:p>
    <w:tbl>
      <w:tblPr>
        <w:tblW w:w="9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1188"/>
        <w:gridCol w:w="1915"/>
        <w:gridCol w:w="2126"/>
        <w:gridCol w:w="2977"/>
      </w:tblGrid>
      <w:tr w:rsidR="00061DA9" w:rsidRPr="00F944D1">
        <w:trPr>
          <w:cantSplit/>
          <w:trHeight w:val="510"/>
          <w:jc w:val="center"/>
        </w:trPr>
        <w:tc>
          <w:tcPr>
            <w:tcW w:w="6648" w:type="dxa"/>
            <w:gridSpan w:val="4"/>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论文种类</w:t>
            </w:r>
          </w:p>
        </w:tc>
        <w:tc>
          <w:tcPr>
            <w:tcW w:w="2977" w:type="dxa"/>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分/篇</w:t>
            </w:r>
          </w:p>
        </w:tc>
      </w:tr>
      <w:tr w:rsidR="00061DA9" w:rsidRPr="00F944D1">
        <w:trPr>
          <w:cantSplit/>
          <w:trHeight w:val="510"/>
          <w:jc w:val="center"/>
        </w:trPr>
        <w:tc>
          <w:tcPr>
            <w:tcW w:w="1419" w:type="dxa"/>
            <w:vMerge w:val="restart"/>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SCI收录</w:t>
            </w:r>
          </w:p>
        </w:tc>
        <w:tc>
          <w:tcPr>
            <w:tcW w:w="1188" w:type="dxa"/>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区间</w:t>
            </w:r>
          </w:p>
        </w:tc>
        <w:tc>
          <w:tcPr>
            <w:tcW w:w="1915" w:type="dxa"/>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录用通知阶段</w:t>
            </w:r>
          </w:p>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（未能检索）</w:t>
            </w:r>
          </w:p>
        </w:tc>
        <w:tc>
          <w:tcPr>
            <w:tcW w:w="2126" w:type="dxa"/>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收录阶段</w:t>
            </w:r>
          </w:p>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（有检索证明）</w:t>
            </w:r>
          </w:p>
        </w:tc>
        <w:tc>
          <w:tcPr>
            <w:tcW w:w="2977" w:type="dxa"/>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影响因子</w:t>
            </w:r>
          </w:p>
        </w:tc>
      </w:tr>
      <w:tr w:rsidR="00061DA9" w:rsidRPr="00F944D1">
        <w:trPr>
          <w:cantSplit/>
          <w:trHeight w:val="394"/>
          <w:jc w:val="center"/>
        </w:trPr>
        <w:tc>
          <w:tcPr>
            <w:tcW w:w="1419" w:type="dxa"/>
            <w:vMerge/>
            <w:vAlign w:val="center"/>
          </w:tcPr>
          <w:p w:rsidR="00061DA9" w:rsidRPr="00F944D1" w:rsidRDefault="00061DA9" w:rsidP="00441290">
            <w:pPr>
              <w:spacing w:line="480" w:lineRule="exact"/>
              <w:jc w:val="center"/>
              <w:rPr>
                <w:rFonts w:ascii="仿宋" w:eastAsia="仿宋" w:hAnsi="仿宋"/>
                <w:sz w:val="24"/>
                <w:szCs w:val="24"/>
              </w:rPr>
            </w:pPr>
          </w:p>
        </w:tc>
        <w:tc>
          <w:tcPr>
            <w:tcW w:w="1188"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一区</w:t>
            </w:r>
          </w:p>
        </w:tc>
        <w:tc>
          <w:tcPr>
            <w:tcW w:w="1915" w:type="dxa"/>
            <w:shd w:val="clear" w:color="auto" w:fill="auto"/>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18.4</w:t>
            </w:r>
          </w:p>
        </w:tc>
        <w:tc>
          <w:tcPr>
            <w:tcW w:w="2126"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23</w:t>
            </w:r>
          </w:p>
        </w:tc>
        <w:tc>
          <w:tcPr>
            <w:tcW w:w="2977" w:type="dxa"/>
            <w:vMerge w:val="restart"/>
            <w:shd w:val="clear" w:color="auto" w:fill="auto"/>
            <w:vAlign w:val="center"/>
          </w:tcPr>
          <w:p w:rsidR="00061DA9" w:rsidRPr="00F944D1" w:rsidRDefault="00A264BC" w:rsidP="00441290">
            <w:pPr>
              <w:numPr>
                <w:ilvl w:val="0"/>
                <w:numId w:val="2"/>
              </w:numPr>
              <w:spacing w:line="480" w:lineRule="exact"/>
              <w:rPr>
                <w:rFonts w:ascii="仿宋" w:eastAsia="仿宋" w:hAnsi="仿宋"/>
                <w:sz w:val="24"/>
                <w:szCs w:val="24"/>
              </w:rPr>
            </w:pPr>
            <w:r w:rsidRPr="00F944D1">
              <w:rPr>
                <w:rFonts w:ascii="仿宋" w:eastAsia="仿宋" w:hAnsi="仿宋" w:hint="eastAsia"/>
                <w:sz w:val="24"/>
                <w:szCs w:val="24"/>
              </w:rPr>
              <w:t>≥5,乘1.2系数；</w:t>
            </w:r>
          </w:p>
          <w:p w:rsidR="00061DA9" w:rsidRPr="00F944D1" w:rsidRDefault="00A264BC" w:rsidP="00441290">
            <w:pPr>
              <w:numPr>
                <w:ilvl w:val="0"/>
                <w:numId w:val="2"/>
              </w:numPr>
              <w:spacing w:line="480" w:lineRule="exact"/>
              <w:rPr>
                <w:rFonts w:ascii="仿宋" w:eastAsia="仿宋" w:hAnsi="仿宋"/>
                <w:sz w:val="24"/>
                <w:szCs w:val="24"/>
              </w:rPr>
            </w:pPr>
            <w:r w:rsidRPr="00F944D1">
              <w:rPr>
                <w:rFonts w:ascii="仿宋" w:eastAsia="仿宋" w:hAnsi="仿宋" w:hint="eastAsia"/>
                <w:sz w:val="24"/>
                <w:szCs w:val="24"/>
              </w:rPr>
              <w:t>3-5，乘1.1系数；</w:t>
            </w:r>
          </w:p>
          <w:p w:rsidR="00061DA9" w:rsidRPr="00F944D1" w:rsidRDefault="00A264BC" w:rsidP="00441290">
            <w:pPr>
              <w:numPr>
                <w:ilvl w:val="0"/>
                <w:numId w:val="2"/>
              </w:numPr>
              <w:spacing w:line="480" w:lineRule="exact"/>
              <w:rPr>
                <w:rFonts w:ascii="仿宋" w:eastAsia="仿宋" w:hAnsi="仿宋"/>
                <w:sz w:val="24"/>
                <w:szCs w:val="24"/>
              </w:rPr>
            </w:pPr>
            <w:r w:rsidRPr="00F944D1">
              <w:rPr>
                <w:rFonts w:ascii="仿宋" w:eastAsia="仿宋" w:hAnsi="仿宋" w:hint="eastAsia"/>
                <w:sz w:val="24"/>
                <w:szCs w:val="24"/>
              </w:rPr>
              <w:t>＜3，乘1系数；</w:t>
            </w:r>
          </w:p>
        </w:tc>
      </w:tr>
      <w:tr w:rsidR="00061DA9" w:rsidRPr="00F944D1">
        <w:trPr>
          <w:cantSplit/>
          <w:trHeight w:val="510"/>
          <w:jc w:val="center"/>
        </w:trPr>
        <w:tc>
          <w:tcPr>
            <w:tcW w:w="1419" w:type="dxa"/>
            <w:vMerge/>
            <w:vAlign w:val="center"/>
          </w:tcPr>
          <w:p w:rsidR="00061DA9" w:rsidRPr="00F944D1" w:rsidRDefault="00061DA9" w:rsidP="00441290">
            <w:pPr>
              <w:spacing w:line="480" w:lineRule="exact"/>
              <w:jc w:val="center"/>
              <w:rPr>
                <w:rFonts w:ascii="仿宋" w:eastAsia="仿宋" w:hAnsi="仿宋"/>
                <w:sz w:val="24"/>
                <w:szCs w:val="24"/>
              </w:rPr>
            </w:pPr>
          </w:p>
        </w:tc>
        <w:tc>
          <w:tcPr>
            <w:tcW w:w="1188"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二区</w:t>
            </w:r>
          </w:p>
        </w:tc>
        <w:tc>
          <w:tcPr>
            <w:tcW w:w="1915" w:type="dxa"/>
            <w:shd w:val="clear" w:color="auto" w:fill="auto"/>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12</w:t>
            </w:r>
          </w:p>
        </w:tc>
        <w:tc>
          <w:tcPr>
            <w:tcW w:w="2126"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15</w:t>
            </w:r>
          </w:p>
        </w:tc>
        <w:tc>
          <w:tcPr>
            <w:tcW w:w="2977" w:type="dxa"/>
            <w:vMerge/>
            <w:shd w:val="clear" w:color="auto" w:fill="auto"/>
            <w:vAlign w:val="center"/>
          </w:tcPr>
          <w:p w:rsidR="00061DA9" w:rsidRPr="00F944D1" w:rsidRDefault="00061DA9" w:rsidP="00441290">
            <w:pPr>
              <w:spacing w:line="480" w:lineRule="exact"/>
              <w:rPr>
                <w:rFonts w:ascii="仿宋" w:eastAsia="仿宋" w:hAnsi="仿宋"/>
                <w:sz w:val="24"/>
                <w:szCs w:val="24"/>
              </w:rPr>
            </w:pPr>
          </w:p>
        </w:tc>
      </w:tr>
      <w:tr w:rsidR="00061DA9" w:rsidRPr="00F944D1">
        <w:trPr>
          <w:cantSplit/>
          <w:trHeight w:val="510"/>
          <w:jc w:val="center"/>
        </w:trPr>
        <w:tc>
          <w:tcPr>
            <w:tcW w:w="1419" w:type="dxa"/>
            <w:vMerge/>
            <w:vAlign w:val="center"/>
          </w:tcPr>
          <w:p w:rsidR="00061DA9" w:rsidRPr="00F944D1" w:rsidRDefault="00061DA9" w:rsidP="00441290">
            <w:pPr>
              <w:spacing w:line="480" w:lineRule="exact"/>
              <w:jc w:val="center"/>
              <w:rPr>
                <w:rFonts w:ascii="仿宋" w:eastAsia="仿宋" w:hAnsi="仿宋"/>
                <w:sz w:val="24"/>
                <w:szCs w:val="24"/>
              </w:rPr>
            </w:pPr>
          </w:p>
        </w:tc>
        <w:tc>
          <w:tcPr>
            <w:tcW w:w="1188"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三区</w:t>
            </w:r>
          </w:p>
        </w:tc>
        <w:tc>
          <w:tcPr>
            <w:tcW w:w="1915"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9.6</w:t>
            </w:r>
          </w:p>
        </w:tc>
        <w:tc>
          <w:tcPr>
            <w:tcW w:w="2126"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12</w:t>
            </w:r>
          </w:p>
        </w:tc>
        <w:tc>
          <w:tcPr>
            <w:tcW w:w="2977" w:type="dxa"/>
            <w:vMerge/>
            <w:vAlign w:val="center"/>
          </w:tcPr>
          <w:p w:rsidR="00061DA9" w:rsidRPr="00F944D1" w:rsidRDefault="00061DA9" w:rsidP="00441290">
            <w:pPr>
              <w:spacing w:line="480" w:lineRule="exact"/>
              <w:rPr>
                <w:rFonts w:ascii="仿宋" w:eastAsia="仿宋" w:hAnsi="仿宋"/>
                <w:sz w:val="24"/>
                <w:szCs w:val="24"/>
              </w:rPr>
            </w:pPr>
          </w:p>
        </w:tc>
      </w:tr>
      <w:tr w:rsidR="00061DA9" w:rsidRPr="00F944D1">
        <w:trPr>
          <w:cantSplit/>
          <w:trHeight w:val="510"/>
          <w:jc w:val="center"/>
        </w:trPr>
        <w:tc>
          <w:tcPr>
            <w:tcW w:w="1419" w:type="dxa"/>
            <w:vMerge/>
            <w:vAlign w:val="center"/>
          </w:tcPr>
          <w:p w:rsidR="00061DA9" w:rsidRPr="00F944D1" w:rsidRDefault="00061DA9" w:rsidP="00441290">
            <w:pPr>
              <w:spacing w:line="480" w:lineRule="exact"/>
              <w:jc w:val="center"/>
              <w:rPr>
                <w:rFonts w:ascii="仿宋" w:eastAsia="仿宋" w:hAnsi="仿宋"/>
                <w:sz w:val="24"/>
                <w:szCs w:val="24"/>
              </w:rPr>
            </w:pPr>
          </w:p>
        </w:tc>
        <w:tc>
          <w:tcPr>
            <w:tcW w:w="1188"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四区</w:t>
            </w:r>
          </w:p>
        </w:tc>
        <w:tc>
          <w:tcPr>
            <w:tcW w:w="1915"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7</w:t>
            </w:r>
          </w:p>
        </w:tc>
        <w:tc>
          <w:tcPr>
            <w:tcW w:w="2126"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8</w:t>
            </w:r>
          </w:p>
        </w:tc>
        <w:tc>
          <w:tcPr>
            <w:tcW w:w="2977" w:type="dxa"/>
            <w:vMerge/>
            <w:vAlign w:val="center"/>
          </w:tcPr>
          <w:p w:rsidR="00061DA9" w:rsidRPr="00F944D1" w:rsidRDefault="00061DA9" w:rsidP="00441290">
            <w:pPr>
              <w:spacing w:line="480" w:lineRule="exact"/>
              <w:rPr>
                <w:rFonts w:ascii="仿宋" w:eastAsia="仿宋" w:hAnsi="仿宋"/>
                <w:sz w:val="24"/>
                <w:szCs w:val="24"/>
              </w:rPr>
            </w:pPr>
          </w:p>
        </w:tc>
      </w:tr>
      <w:tr w:rsidR="00061DA9" w:rsidRPr="00F944D1">
        <w:trPr>
          <w:cantSplit/>
          <w:trHeight w:val="510"/>
          <w:jc w:val="center"/>
        </w:trPr>
        <w:tc>
          <w:tcPr>
            <w:tcW w:w="6648" w:type="dxa"/>
            <w:gridSpan w:val="4"/>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b/>
                <w:sz w:val="24"/>
                <w:szCs w:val="24"/>
              </w:rPr>
              <w:t>EI收录</w:t>
            </w:r>
          </w:p>
        </w:tc>
        <w:tc>
          <w:tcPr>
            <w:tcW w:w="2977" w:type="dxa"/>
            <w:vAlign w:val="center"/>
          </w:tcPr>
          <w:p w:rsidR="00061DA9" w:rsidRPr="00F944D1" w:rsidRDefault="00A264BC" w:rsidP="00441290">
            <w:pPr>
              <w:spacing w:line="480" w:lineRule="exact"/>
              <w:jc w:val="center"/>
              <w:rPr>
                <w:rFonts w:ascii="仿宋" w:eastAsia="仿宋" w:hAnsi="仿宋"/>
                <w:b/>
                <w:color w:val="FF0000"/>
                <w:sz w:val="24"/>
                <w:szCs w:val="24"/>
              </w:rPr>
            </w:pPr>
            <w:r w:rsidRPr="00F944D1">
              <w:rPr>
                <w:rFonts w:ascii="仿宋" w:eastAsia="仿宋" w:hAnsi="仿宋" w:hint="eastAsia"/>
                <w:sz w:val="24"/>
                <w:szCs w:val="24"/>
              </w:rPr>
              <w:t>4</w:t>
            </w:r>
          </w:p>
        </w:tc>
      </w:tr>
      <w:tr w:rsidR="00061DA9" w:rsidRPr="00F944D1">
        <w:trPr>
          <w:cantSplit/>
          <w:trHeight w:val="510"/>
          <w:jc w:val="center"/>
        </w:trPr>
        <w:tc>
          <w:tcPr>
            <w:tcW w:w="6648" w:type="dxa"/>
            <w:gridSpan w:val="4"/>
            <w:vAlign w:val="center"/>
          </w:tcPr>
          <w:p w:rsidR="00061DA9" w:rsidRPr="00F944D1" w:rsidRDefault="00A264BC" w:rsidP="00441290">
            <w:pPr>
              <w:spacing w:line="480" w:lineRule="exact"/>
              <w:jc w:val="center"/>
              <w:rPr>
                <w:rFonts w:ascii="仿宋" w:eastAsia="仿宋" w:hAnsi="仿宋"/>
                <w:b/>
                <w:sz w:val="24"/>
                <w:szCs w:val="24"/>
              </w:rPr>
            </w:pPr>
            <w:r w:rsidRPr="00F944D1">
              <w:rPr>
                <w:rFonts w:ascii="仿宋" w:eastAsia="仿宋" w:hAnsi="仿宋" w:hint="eastAsia"/>
                <w:b/>
                <w:sz w:val="24"/>
                <w:szCs w:val="24"/>
              </w:rPr>
              <w:t>ISTP收录</w:t>
            </w:r>
          </w:p>
        </w:tc>
        <w:tc>
          <w:tcPr>
            <w:tcW w:w="2977" w:type="dxa"/>
            <w:vAlign w:val="center"/>
          </w:tcPr>
          <w:p w:rsidR="00061DA9" w:rsidRPr="00F944D1" w:rsidRDefault="00A264BC" w:rsidP="00441290">
            <w:pPr>
              <w:spacing w:line="480" w:lineRule="exact"/>
              <w:jc w:val="center"/>
              <w:rPr>
                <w:rFonts w:ascii="仿宋" w:eastAsia="仿宋" w:hAnsi="仿宋"/>
                <w:sz w:val="24"/>
                <w:szCs w:val="24"/>
              </w:rPr>
            </w:pPr>
            <w:r w:rsidRPr="00F944D1">
              <w:rPr>
                <w:rFonts w:ascii="仿宋" w:eastAsia="仿宋" w:hAnsi="仿宋" w:hint="eastAsia"/>
                <w:sz w:val="24"/>
                <w:szCs w:val="24"/>
              </w:rPr>
              <w:t>8/3</w:t>
            </w:r>
          </w:p>
        </w:tc>
      </w:tr>
    </w:tbl>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2、其他</w:t>
      </w:r>
      <w:r w:rsidRPr="00F944D1">
        <w:rPr>
          <w:rFonts w:ascii="仿宋" w:eastAsia="仿宋" w:hAnsi="仿宋" w:cs="Times New Roman"/>
          <w:sz w:val="28"/>
          <w:szCs w:val="28"/>
        </w:rPr>
        <w:t>核心期刊</w:t>
      </w:r>
      <w:r w:rsidRPr="00F944D1">
        <w:rPr>
          <w:rFonts w:ascii="仿宋" w:eastAsia="仿宋" w:hAnsi="仿宋" w:cs="Times New Roman" w:hint="eastAsia"/>
          <w:sz w:val="28"/>
          <w:szCs w:val="28"/>
        </w:rPr>
        <w:t>2</w:t>
      </w:r>
      <w:r w:rsidRPr="00F944D1">
        <w:rPr>
          <w:rFonts w:ascii="仿宋" w:eastAsia="仿宋" w:hAnsi="仿宋" w:cs="Times New Roman"/>
          <w:sz w:val="28"/>
          <w:szCs w:val="28"/>
        </w:rPr>
        <w:t>分/篇</w:t>
      </w:r>
      <w:r w:rsidRPr="00F944D1">
        <w:rPr>
          <w:rFonts w:ascii="仿宋" w:eastAsia="仿宋" w:hAnsi="仿宋" w:cs="Times New Roman" w:hint="eastAsia"/>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3、会议论文加分：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w:t>
      </w:r>
      <w:r w:rsidRPr="00F944D1">
        <w:rPr>
          <w:rFonts w:ascii="仿宋" w:eastAsia="仿宋" w:hAnsi="仿宋" w:cs="Times New Roman"/>
          <w:sz w:val="28"/>
          <w:szCs w:val="28"/>
        </w:rPr>
        <w:t>参加国际</w:t>
      </w:r>
      <w:r w:rsidRPr="00F944D1">
        <w:rPr>
          <w:rFonts w:ascii="仿宋" w:eastAsia="仿宋" w:hAnsi="仿宋" w:cs="Times New Roman" w:hint="eastAsia"/>
          <w:sz w:val="28"/>
          <w:szCs w:val="28"/>
        </w:rPr>
        <w:t>性</w:t>
      </w:r>
      <w:r w:rsidRPr="00F944D1">
        <w:rPr>
          <w:rFonts w:ascii="仿宋" w:eastAsia="仿宋" w:hAnsi="仿宋" w:cs="Times New Roman"/>
          <w:sz w:val="28"/>
          <w:szCs w:val="28"/>
        </w:rPr>
        <w:t>会议并</w:t>
      </w:r>
      <w:r w:rsidRPr="00F944D1">
        <w:rPr>
          <w:rFonts w:ascii="仿宋" w:eastAsia="仿宋" w:hAnsi="仿宋" w:cs="Times New Roman" w:hint="eastAsia"/>
          <w:sz w:val="28"/>
          <w:szCs w:val="28"/>
        </w:rPr>
        <w:t>以第一作者</w:t>
      </w:r>
      <w:r w:rsidRPr="00F944D1">
        <w:rPr>
          <w:rFonts w:ascii="仿宋" w:eastAsia="仿宋" w:hAnsi="仿宋" w:cs="Times New Roman"/>
          <w:sz w:val="28"/>
          <w:szCs w:val="28"/>
        </w:rPr>
        <w:t>在会议论文集上发表论文加1分（限一篇）</w:t>
      </w:r>
      <w:r w:rsidRPr="00F944D1">
        <w:rPr>
          <w:rFonts w:ascii="仿宋" w:eastAsia="仿宋" w:hAnsi="仿宋" w:cs="Times New Roman" w:hint="eastAsia"/>
          <w:sz w:val="28"/>
          <w:szCs w:val="28"/>
        </w:rPr>
        <w:t>，出席会议没有发表论文者可以加0.2分（</w:t>
      </w:r>
      <w:r w:rsidRPr="00F944D1">
        <w:rPr>
          <w:rFonts w:ascii="仿宋" w:eastAsia="仿宋" w:hAnsi="仿宋" w:cs="Times New Roman"/>
          <w:sz w:val="28"/>
          <w:szCs w:val="28"/>
        </w:rPr>
        <w:t>限一</w:t>
      </w:r>
      <w:r w:rsidRPr="00F944D1">
        <w:rPr>
          <w:rFonts w:ascii="仿宋" w:eastAsia="仿宋" w:hAnsi="仿宋" w:cs="Times New Roman" w:hint="eastAsia"/>
          <w:sz w:val="28"/>
          <w:szCs w:val="28"/>
        </w:rPr>
        <w:t>次）;</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（2）参加</w:t>
      </w:r>
      <w:r w:rsidRPr="00F944D1">
        <w:rPr>
          <w:rFonts w:ascii="仿宋" w:eastAsia="仿宋" w:hAnsi="仿宋" w:cs="Times New Roman"/>
          <w:sz w:val="28"/>
          <w:szCs w:val="28"/>
        </w:rPr>
        <w:t>全国性会议并</w:t>
      </w:r>
      <w:r w:rsidRPr="00F944D1">
        <w:rPr>
          <w:rFonts w:ascii="仿宋" w:eastAsia="仿宋" w:hAnsi="仿宋" w:cs="Times New Roman" w:hint="eastAsia"/>
          <w:sz w:val="28"/>
          <w:szCs w:val="28"/>
        </w:rPr>
        <w:t>以第一作者</w:t>
      </w:r>
      <w:r w:rsidRPr="00F944D1">
        <w:rPr>
          <w:rFonts w:ascii="仿宋" w:eastAsia="仿宋" w:hAnsi="仿宋" w:cs="Times New Roman"/>
          <w:sz w:val="28"/>
          <w:szCs w:val="28"/>
        </w:rPr>
        <w:t>在会议论文集上发表论文加0.</w:t>
      </w:r>
      <w:r w:rsidRPr="00F944D1">
        <w:rPr>
          <w:rFonts w:ascii="仿宋" w:eastAsia="仿宋" w:hAnsi="仿宋" w:cs="Times New Roman" w:hint="eastAsia"/>
          <w:sz w:val="28"/>
          <w:szCs w:val="28"/>
        </w:rPr>
        <w:t>5</w:t>
      </w:r>
      <w:r w:rsidRPr="00F944D1">
        <w:rPr>
          <w:rFonts w:ascii="仿宋" w:eastAsia="仿宋" w:hAnsi="仿宋" w:cs="Times New Roman"/>
          <w:sz w:val="28"/>
          <w:szCs w:val="28"/>
        </w:rPr>
        <w:t>分</w:t>
      </w:r>
      <w:r w:rsidRPr="00F944D1">
        <w:rPr>
          <w:rFonts w:ascii="仿宋" w:eastAsia="仿宋" w:hAnsi="仿宋" w:cs="Times New Roman" w:hint="eastAsia"/>
          <w:sz w:val="28"/>
          <w:szCs w:val="28"/>
        </w:rPr>
        <w:t>（限一篇），出席会议没有发表论文者可以加0.1分（</w:t>
      </w:r>
      <w:r w:rsidRPr="00F944D1">
        <w:rPr>
          <w:rFonts w:ascii="仿宋" w:eastAsia="仿宋" w:hAnsi="仿宋" w:cs="Times New Roman"/>
          <w:sz w:val="28"/>
          <w:szCs w:val="28"/>
        </w:rPr>
        <w:t>限一</w:t>
      </w:r>
      <w:r w:rsidRPr="00F944D1">
        <w:rPr>
          <w:rFonts w:ascii="仿宋" w:eastAsia="仿宋" w:hAnsi="仿宋" w:cs="Times New Roman" w:hint="eastAsia"/>
          <w:sz w:val="28"/>
          <w:szCs w:val="28"/>
        </w:rPr>
        <w:t>次）；</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w:t>
      </w:r>
      <w:r w:rsidRPr="00F944D1">
        <w:rPr>
          <w:rFonts w:ascii="仿宋" w:eastAsia="仿宋" w:hAnsi="仿宋" w:cs="Times New Roman"/>
          <w:sz w:val="28"/>
          <w:szCs w:val="28"/>
        </w:rPr>
        <w:t>为鼓励研究生参加学术交流，活跃学术氛围，</w:t>
      </w:r>
      <w:r w:rsidRPr="00F944D1">
        <w:rPr>
          <w:rFonts w:ascii="仿宋" w:eastAsia="仿宋" w:hAnsi="仿宋" w:cs="Times New Roman" w:hint="eastAsia"/>
          <w:sz w:val="28"/>
          <w:szCs w:val="28"/>
        </w:rPr>
        <w:t>参加</w:t>
      </w:r>
      <w:r w:rsidRPr="00F944D1">
        <w:rPr>
          <w:rFonts w:ascii="仿宋" w:eastAsia="仿宋" w:hAnsi="仿宋" w:cs="Times New Roman"/>
          <w:sz w:val="28"/>
          <w:szCs w:val="28"/>
        </w:rPr>
        <w:t>每年的学术研讨会</w:t>
      </w:r>
      <w:r w:rsidRPr="00F944D1">
        <w:rPr>
          <w:rFonts w:ascii="仿宋" w:eastAsia="仿宋" w:hAnsi="仿宋" w:cs="Times New Roman" w:hint="eastAsia"/>
          <w:sz w:val="28"/>
          <w:szCs w:val="28"/>
        </w:rPr>
        <w:t>（市级及以上）并以第一作者在会议</w:t>
      </w:r>
      <w:r w:rsidRPr="00F944D1">
        <w:rPr>
          <w:rFonts w:ascii="仿宋" w:eastAsia="仿宋" w:hAnsi="仿宋" w:cs="Times New Roman"/>
          <w:sz w:val="28"/>
          <w:szCs w:val="28"/>
        </w:rPr>
        <w:t>论文集上发表的论文，加0.</w:t>
      </w:r>
      <w:r w:rsidRPr="00F944D1">
        <w:rPr>
          <w:rFonts w:ascii="仿宋" w:eastAsia="仿宋" w:hAnsi="仿宋" w:cs="Times New Roman" w:hint="eastAsia"/>
          <w:sz w:val="28"/>
          <w:szCs w:val="28"/>
        </w:rPr>
        <w:t>3</w:t>
      </w:r>
      <w:r w:rsidRPr="00F944D1">
        <w:rPr>
          <w:rFonts w:ascii="仿宋" w:eastAsia="仿宋" w:hAnsi="仿宋" w:cs="Times New Roman"/>
          <w:sz w:val="28"/>
          <w:szCs w:val="28"/>
        </w:rPr>
        <w:t>分/篇（限一篇）</w:t>
      </w:r>
      <w:r w:rsidRPr="00F944D1">
        <w:rPr>
          <w:rFonts w:ascii="仿宋" w:eastAsia="仿宋" w:hAnsi="仿宋" w:cs="Times New Roman" w:hint="eastAsia"/>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备注：所有出席会议并做报告者，请提供会议议程安排、论文集等有效证明材料。</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4、多个作者情况下，学术论文加分方法如下：</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lastRenderedPageBreak/>
        <w:t>（1）参评论文（除SCI论文）已见刊，则前两名作者（除去导师）可加分，第三名以后作者一律不加分，详见表2；</w:t>
      </w:r>
    </w:p>
    <w:p w:rsidR="00061DA9" w:rsidRPr="00F944D1" w:rsidRDefault="00A264BC" w:rsidP="00441290">
      <w:pPr>
        <w:widowControl/>
        <w:spacing w:beforeLines="50" w:before="156" w:afterLines="50" w:after="156" w:line="480" w:lineRule="exact"/>
        <w:jc w:val="center"/>
        <w:rPr>
          <w:rFonts w:ascii="仿宋" w:eastAsia="仿宋" w:hAnsi="仿宋" w:cs="宋体"/>
          <w:b/>
          <w:color w:val="000000"/>
          <w:kern w:val="0"/>
          <w:sz w:val="28"/>
          <w:szCs w:val="28"/>
        </w:rPr>
      </w:pPr>
      <w:r w:rsidRPr="00F944D1">
        <w:rPr>
          <w:rFonts w:ascii="仿宋" w:eastAsia="仿宋" w:hAnsi="仿宋" w:cs="宋体" w:hint="eastAsia"/>
          <w:b/>
          <w:color w:val="000000"/>
          <w:kern w:val="0"/>
          <w:sz w:val="28"/>
          <w:szCs w:val="28"/>
        </w:rPr>
        <w:t>表2 论文（除SCI外）加分方法表</w:t>
      </w:r>
      <w:r w:rsidRPr="00F944D1">
        <w:rPr>
          <w:rFonts w:eastAsia="仿宋" w:cs="宋体" w:hint="eastAsia"/>
          <w:b/>
          <w:color w:val="000000"/>
          <w:kern w:val="0"/>
          <w:sz w:val="28"/>
          <w:szCs w:val="28"/>
        </w:rPr>
        <w:t> </w:t>
      </w:r>
      <w:r w:rsidRPr="00F944D1">
        <w:rPr>
          <w:rFonts w:ascii="仿宋" w:eastAsia="仿宋" w:hAnsi="仿宋" w:cs="宋体" w:hint="eastAsia"/>
          <w:b/>
          <w:color w:val="000000"/>
          <w:kern w:val="0"/>
          <w:sz w:val="28"/>
          <w:szCs w:val="28"/>
        </w:rPr>
        <w:t>（除去导师）</w:t>
      </w:r>
    </w:p>
    <w:tbl>
      <w:tblPr>
        <w:tblW w:w="76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50"/>
        <w:gridCol w:w="2710"/>
        <w:gridCol w:w="4125"/>
      </w:tblGrid>
      <w:tr w:rsidR="00061DA9" w:rsidRPr="00F944D1">
        <w:trPr>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b/>
                <w:color w:val="000000"/>
                <w:kern w:val="0"/>
                <w:sz w:val="24"/>
                <w:szCs w:val="24"/>
              </w:rPr>
            </w:pPr>
            <w:r w:rsidRPr="00F944D1">
              <w:rPr>
                <w:rFonts w:ascii="仿宋" w:eastAsia="仿宋" w:hAnsi="仿宋" w:cs="宋体" w:hint="eastAsia"/>
                <w:b/>
                <w:color w:val="000000"/>
                <w:kern w:val="0"/>
                <w:sz w:val="24"/>
                <w:szCs w:val="24"/>
              </w:rPr>
              <w:t>序号</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hint="eastAsia"/>
                <w:b/>
                <w:color w:val="000000"/>
                <w:kern w:val="0"/>
                <w:sz w:val="24"/>
                <w:szCs w:val="24"/>
              </w:rPr>
              <w:t>作者排序样式</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firstLine="474"/>
              <w:jc w:val="center"/>
              <w:rPr>
                <w:rFonts w:ascii="仿宋" w:eastAsia="仿宋" w:hAnsi="仿宋" w:cs="宋体"/>
                <w:b/>
                <w:color w:val="000000"/>
                <w:kern w:val="0"/>
                <w:sz w:val="24"/>
                <w:szCs w:val="24"/>
              </w:rPr>
            </w:pPr>
            <w:r w:rsidRPr="00F944D1">
              <w:rPr>
                <w:rFonts w:ascii="仿宋" w:eastAsia="仿宋" w:hAnsi="仿宋" w:cs="宋体" w:hint="eastAsia"/>
                <w:b/>
                <w:color w:val="000000"/>
                <w:kern w:val="0"/>
                <w:sz w:val="24"/>
                <w:szCs w:val="24"/>
              </w:rPr>
              <w:t>加分方法</w:t>
            </w:r>
          </w:p>
        </w:tc>
      </w:tr>
      <w:tr w:rsidR="00061DA9" w:rsidRPr="00F944D1">
        <w:trPr>
          <w:trHeight w:val="270"/>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1</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加满分</w:t>
            </w:r>
          </w:p>
        </w:tc>
      </w:tr>
      <w:tr w:rsidR="00061DA9" w:rsidRPr="00F944D1">
        <w:trPr>
          <w:trHeight w:val="315"/>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2</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学生a＋本院教师</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加满分</w:t>
            </w:r>
          </w:p>
        </w:tc>
      </w:tr>
      <w:tr w:rsidR="00061DA9" w:rsidRPr="00F944D1">
        <w:trPr>
          <w:trHeight w:val="315"/>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3</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学生a＋其他人</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学生a加2/3</w:t>
            </w:r>
          </w:p>
        </w:tc>
      </w:tr>
      <w:tr w:rsidR="00061DA9" w:rsidRPr="00F944D1">
        <w:trPr>
          <w:trHeight w:val="315"/>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4</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学生a＋学生b</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学生a加2/3，学生b加1/3</w:t>
            </w:r>
          </w:p>
        </w:tc>
      </w:tr>
      <w:tr w:rsidR="00061DA9" w:rsidRPr="00F944D1">
        <w:trPr>
          <w:trHeight w:val="315"/>
          <w:jc w:val="center"/>
        </w:trPr>
        <w:tc>
          <w:tcPr>
            <w:tcW w:w="85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5</w:t>
            </w:r>
          </w:p>
        </w:tc>
        <w:tc>
          <w:tcPr>
            <w:tcW w:w="2710"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老师＋学生</w:t>
            </w:r>
          </w:p>
        </w:tc>
        <w:tc>
          <w:tcPr>
            <w:tcW w:w="4125" w:type="dxa"/>
            <w:shd w:val="clear" w:color="auto" w:fill="auto"/>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加1/3</w:t>
            </w:r>
          </w:p>
        </w:tc>
      </w:tr>
    </w:tbl>
    <w:p w:rsidR="00061DA9" w:rsidRPr="00F944D1" w:rsidRDefault="00A264BC" w:rsidP="00441290">
      <w:pPr>
        <w:spacing w:line="480" w:lineRule="exact"/>
        <w:ind w:firstLineChars="200" w:firstLine="480"/>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注：</w:t>
      </w:r>
      <w:r w:rsidRPr="00F944D1">
        <w:rPr>
          <w:rFonts w:ascii="仿宋" w:eastAsia="仿宋" w:hAnsi="仿宋" w:cs="宋体"/>
          <w:color w:val="000000"/>
          <w:kern w:val="0"/>
          <w:sz w:val="24"/>
          <w:szCs w:val="24"/>
        </w:rPr>
        <w:t>学生b</w:t>
      </w:r>
      <w:r w:rsidRPr="00F944D1">
        <w:rPr>
          <w:rFonts w:ascii="仿宋" w:eastAsia="仿宋" w:hAnsi="仿宋" w:cs="宋体" w:hint="eastAsia"/>
          <w:color w:val="000000"/>
          <w:kern w:val="0"/>
          <w:sz w:val="24"/>
          <w:szCs w:val="24"/>
        </w:rPr>
        <w:t>指生物学院在读学生，其他人指除去生物学院教师以外的人，“老师”指除导师外的生物学院或其他学院教师。</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参评论文（除SCI论文）只是录用阶段，则只有第一作者（除去导师）可加相应分数的2/3；该论文见刊后，若第二作者需用此论文加分（即表2中4、5情况的“加1/3”），则前提是论文录用通知上的作者排序与论文见刊时的作者排序相一致， 否则不予加分。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（3）SCI参评论文，</w:t>
      </w:r>
      <w:r w:rsidRPr="00F944D1">
        <w:rPr>
          <w:rFonts w:ascii="仿宋" w:eastAsia="仿宋" w:hAnsi="仿宋" w:cs="Times New Roman"/>
          <w:sz w:val="28"/>
          <w:szCs w:val="28"/>
        </w:rPr>
        <w:t>除去导师之后，前三名作者排序样式及加分方法</w:t>
      </w:r>
      <w:r w:rsidRPr="00F944D1">
        <w:rPr>
          <w:rFonts w:ascii="仿宋" w:eastAsia="仿宋" w:hAnsi="仿宋" w:cs="Times New Roman" w:hint="eastAsia"/>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1）导师非通讯作者时：</w:t>
      </w:r>
    </w:p>
    <w:p w:rsidR="00061DA9" w:rsidRPr="00F944D1" w:rsidRDefault="00A264BC" w:rsidP="00441290">
      <w:pPr>
        <w:spacing w:line="480" w:lineRule="exact"/>
        <w:jc w:val="center"/>
        <w:rPr>
          <w:rFonts w:ascii="仿宋" w:eastAsia="仿宋" w:hAnsi="仿宋" w:cs="Times New Roman"/>
          <w:sz w:val="28"/>
          <w:szCs w:val="28"/>
        </w:rPr>
      </w:pPr>
      <w:r w:rsidRPr="00F944D1">
        <w:rPr>
          <w:rFonts w:ascii="仿宋" w:eastAsia="仿宋" w:hAnsi="仿宋" w:cs="宋体" w:hint="eastAsia"/>
          <w:b/>
          <w:color w:val="000000"/>
          <w:kern w:val="0"/>
          <w:sz w:val="28"/>
          <w:szCs w:val="28"/>
        </w:rPr>
        <w:t>表3 SCI论文加分方法表</w:t>
      </w:r>
      <w:r w:rsidRPr="00F944D1">
        <w:rPr>
          <w:rFonts w:eastAsia="仿宋" w:cs="宋体" w:hint="eastAsia"/>
          <w:b/>
          <w:color w:val="000000"/>
          <w:kern w:val="0"/>
          <w:sz w:val="28"/>
          <w:szCs w:val="28"/>
        </w:rPr>
        <w:t> </w:t>
      </w:r>
      <w:r w:rsidRPr="00F944D1">
        <w:rPr>
          <w:rFonts w:ascii="仿宋" w:eastAsia="仿宋" w:hAnsi="仿宋" w:cs="宋体" w:hint="eastAsia"/>
          <w:b/>
          <w:color w:val="000000"/>
          <w:kern w:val="0"/>
          <w:sz w:val="28"/>
          <w:szCs w:val="28"/>
        </w:rPr>
        <w:t>（除去导师，导师非通讯作者）</w:t>
      </w:r>
    </w:p>
    <w:tbl>
      <w:tblPr>
        <w:tblW w:w="8654" w:type="dxa"/>
        <w:jc w:val="center"/>
        <w:tblLayout w:type="fixed"/>
        <w:tblCellMar>
          <w:left w:w="0" w:type="dxa"/>
          <w:right w:w="0" w:type="dxa"/>
        </w:tblCellMar>
        <w:tblLook w:val="04A0" w:firstRow="1" w:lastRow="0" w:firstColumn="1" w:lastColumn="0" w:noHBand="0" w:noVBand="1"/>
      </w:tblPr>
      <w:tblGrid>
        <w:gridCol w:w="828"/>
        <w:gridCol w:w="3060"/>
        <w:gridCol w:w="4766"/>
      </w:tblGrid>
      <w:tr w:rsidR="00061DA9" w:rsidRPr="00F944D1">
        <w:trPr>
          <w:trHeight w:val="349"/>
          <w:tblHeader/>
          <w:jc w:val="center"/>
        </w:trPr>
        <w:tc>
          <w:tcPr>
            <w:tcW w:w="8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序号</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作者排序样式</w:t>
            </w:r>
          </w:p>
        </w:tc>
        <w:tc>
          <w:tcPr>
            <w:tcW w:w="47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加分方法</w:t>
            </w:r>
          </w:p>
        </w:tc>
      </w:tr>
      <w:tr w:rsidR="00061DA9" w:rsidRPr="00F944D1">
        <w:trPr>
          <w:trHeight w:val="270"/>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加满分</w:t>
            </w:r>
          </w:p>
        </w:tc>
      </w:tr>
      <w:tr w:rsidR="00061DA9" w:rsidRPr="00F944D1">
        <w:trPr>
          <w:trHeight w:val="315"/>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2</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加2/3</w:t>
            </w:r>
          </w:p>
        </w:tc>
      </w:tr>
      <w:tr w:rsidR="00061DA9" w:rsidRPr="00F944D1">
        <w:trPr>
          <w:trHeight w:val="315"/>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3</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4</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学生a加2/3，学生b加1/3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5</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老师＋老师＋学生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加1/6</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6</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7</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学生＋老师＋老师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加1/2</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lastRenderedPageBreak/>
              <w:t>8</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老师＋学生a＋学生b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学生a加1/3，学生b加1/6</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9</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10</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学生a＋老师＋学生b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学生a加1/2，学生b加1/6</w:t>
            </w:r>
          </w:p>
        </w:tc>
      </w:tr>
      <w:tr w:rsidR="00061DA9" w:rsidRPr="00F944D1">
        <w:trPr>
          <w:trHeight w:val="285"/>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11</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学生a＋学生b＋学生c</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学生a加1/2，学生b加1/3，学生c加1/6</w:t>
            </w:r>
          </w:p>
        </w:tc>
      </w:tr>
    </w:tbl>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2）导师为通讯作者时：</w:t>
      </w:r>
    </w:p>
    <w:p w:rsidR="00061DA9" w:rsidRPr="00F944D1" w:rsidRDefault="00A264BC" w:rsidP="00441290">
      <w:pPr>
        <w:spacing w:line="480" w:lineRule="exact"/>
        <w:jc w:val="center"/>
        <w:rPr>
          <w:rFonts w:ascii="仿宋" w:eastAsia="仿宋" w:hAnsi="仿宋" w:cs="Times New Roman"/>
          <w:sz w:val="28"/>
          <w:szCs w:val="28"/>
        </w:rPr>
      </w:pPr>
      <w:r w:rsidRPr="00F944D1">
        <w:rPr>
          <w:rFonts w:ascii="仿宋" w:eastAsia="仿宋" w:hAnsi="仿宋" w:cs="宋体" w:hint="eastAsia"/>
          <w:b/>
          <w:color w:val="000000"/>
          <w:kern w:val="0"/>
          <w:sz w:val="28"/>
          <w:szCs w:val="28"/>
        </w:rPr>
        <w:t>表4 SCI论文加分方法表</w:t>
      </w:r>
      <w:r w:rsidRPr="00F944D1">
        <w:rPr>
          <w:rFonts w:eastAsia="仿宋" w:cs="宋体" w:hint="eastAsia"/>
          <w:b/>
          <w:color w:val="000000"/>
          <w:kern w:val="0"/>
          <w:sz w:val="28"/>
          <w:szCs w:val="28"/>
        </w:rPr>
        <w:t> </w:t>
      </w:r>
      <w:r w:rsidRPr="00F944D1">
        <w:rPr>
          <w:rFonts w:ascii="仿宋" w:eastAsia="仿宋" w:hAnsi="仿宋" w:cs="宋体" w:hint="eastAsia"/>
          <w:b/>
          <w:color w:val="000000"/>
          <w:kern w:val="0"/>
          <w:sz w:val="28"/>
          <w:szCs w:val="28"/>
        </w:rPr>
        <w:t>（除去导师，导师为通讯作者）</w:t>
      </w:r>
    </w:p>
    <w:tbl>
      <w:tblPr>
        <w:tblW w:w="8654" w:type="dxa"/>
        <w:jc w:val="center"/>
        <w:tblLayout w:type="fixed"/>
        <w:tblCellMar>
          <w:left w:w="0" w:type="dxa"/>
          <w:right w:w="0" w:type="dxa"/>
        </w:tblCellMar>
        <w:tblLook w:val="04A0" w:firstRow="1" w:lastRow="0" w:firstColumn="1" w:lastColumn="0" w:noHBand="0" w:noVBand="1"/>
      </w:tblPr>
      <w:tblGrid>
        <w:gridCol w:w="828"/>
        <w:gridCol w:w="3060"/>
        <w:gridCol w:w="4766"/>
      </w:tblGrid>
      <w:tr w:rsidR="00061DA9" w:rsidRPr="00F944D1">
        <w:trPr>
          <w:trHeight w:val="349"/>
          <w:tblHeader/>
          <w:jc w:val="center"/>
        </w:trPr>
        <w:tc>
          <w:tcPr>
            <w:tcW w:w="8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序号</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作者排序样式</w:t>
            </w:r>
          </w:p>
        </w:tc>
        <w:tc>
          <w:tcPr>
            <w:tcW w:w="47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加分方法</w:t>
            </w:r>
          </w:p>
        </w:tc>
      </w:tr>
      <w:tr w:rsidR="00061DA9" w:rsidRPr="00F944D1">
        <w:trPr>
          <w:trHeight w:val="270"/>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加满分</w:t>
            </w:r>
          </w:p>
        </w:tc>
      </w:tr>
      <w:tr w:rsidR="00061DA9" w:rsidRPr="00F944D1">
        <w:trPr>
          <w:trHeight w:val="315"/>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2</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b/>
                <w:color w:val="FF0000"/>
                <w:kern w:val="0"/>
                <w:sz w:val="24"/>
                <w:szCs w:val="24"/>
              </w:rPr>
            </w:pPr>
            <w:r w:rsidRPr="00F944D1">
              <w:rPr>
                <w:rFonts w:ascii="仿宋" w:eastAsia="仿宋" w:hAnsi="仿宋" w:cs="宋体"/>
                <w:color w:val="000000"/>
                <w:kern w:val="0"/>
                <w:sz w:val="24"/>
                <w:szCs w:val="24"/>
              </w:rPr>
              <w:t>加2/3</w:t>
            </w:r>
          </w:p>
        </w:tc>
      </w:tr>
      <w:tr w:rsidR="00061DA9" w:rsidRPr="00F944D1">
        <w:trPr>
          <w:trHeight w:val="315"/>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3</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4</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学生a加2/3，学生b加1/3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5</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老师＋老师＋学生</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加1/6</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6</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7</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学生＋老师＋老师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加1/2</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8</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老师＋学生a＋学生b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学生a加1/3，学生b加1/6</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9</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学生a＋学生b＋老师</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学生a加1/2，学生b加1/3</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10</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学生a＋老师＋学生b</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学生a加1/2，学生b加1/6</w:t>
            </w:r>
          </w:p>
        </w:tc>
      </w:tr>
      <w:tr w:rsidR="00061DA9" w:rsidRPr="00F944D1">
        <w:trPr>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11</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学生a＋学生b＋学生c</w:t>
            </w:r>
          </w:p>
        </w:tc>
        <w:tc>
          <w:tcPr>
            <w:tcW w:w="4766" w:type="dxa"/>
            <w:tcBorders>
              <w:top w:val="nil"/>
              <w:left w:val="nil"/>
              <w:bottom w:val="single" w:sz="8" w:space="0" w:color="auto"/>
              <w:right w:val="single" w:sz="8" w:space="0" w:color="auto"/>
            </w:tcBorders>
            <w:tcMar>
              <w:top w:w="0" w:type="dxa"/>
              <w:left w:w="108" w:type="dxa"/>
              <w:bottom w:w="0" w:type="dxa"/>
              <w:right w:w="108" w:type="dxa"/>
            </w:tcMa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学生a加1/2，学生b加1/3，学生c加1/6</w:t>
            </w:r>
          </w:p>
        </w:tc>
      </w:tr>
    </w:tbl>
    <w:p w:rsidR="00061DA9" w:rsidRPr="00F944D1" w:rsidRDefault="00A264BC" w:rsidP="00441290">
      <w:pPr>
        <w:spacing w:line="480" w:lineRule="exact"/>
        <w:ind w:firstLine="555"/>
        <w:rPr>
          <w:rFonts w:ascii="仿宋" w:eastAsia="仿宋" w:hAnsi="仿宋" w:cs="Times New Roman"/>
          <w:sz w:val="28"/>
          <w:szCs w:val="28"/>
        </w:rPr>
      </w:pPr>
      <w:r w:rsidRPr="00F944D1">
        <w:rPr>
          <w:rFonts w:ascii="仿宋" w:eastAsia="仿宋" w:hAnsi="仿宋" w:cs="Times New Roman" w:hint="eastAsia"/>
          <w:sz w:val="28"/>
          <w:szCs w:val="28"/>
        </w:rPr>
        <w:t>3）文章出现两名并列第一作者时：</w:t>
      </w:r>
    </w:p>
    <w:p w:rsidR="00061DA9" w:rsidRPr="00F944D1" w:rsidRDefault="00A264BC" w:rsidP="00441290">
      <w:pPr>
        <w:spacing w:line="480" w:lineRule="exact"/>
        <w:ind w:firstLine="555"/>
        <w:jc w:val="center"/>
        <w:rPr>
          <w:rFonts w:ascii="仿宋" w:eastAsia="仿宋" w:hAnsi="仿宋" w:cs="Times New Roman"/>
          <w:sz w:val="28"/>
          <w:szCs w:val="28"/>
        </w:rPr>
      </w:pPr>
      <w:r w:rsidRPr="00F944D1">
        <w:rPr>
          <w:rFonts w:ascii="仿宋" w:eastAsia="仿宋" w:hAnsi="仿宋" w:cs="宋体" w:hint="eastAsia"/>
          <w:b/>
          <w:color w:val="000000"/>
          <w:kern w:val="0"/>
          <w:sz w:val="28"/>
          <w:szCs w:val="28"/>
        </w:rPr>
        <w:t>表5 SCI论文加分方法表</w:t>
      </w:r>
      <w:r w:rsidRPr="00F944D1">
        <w:rPr>
          <w:rFonts w:eastAsia="仿宋" w:cs="宋体" w:hint="eastAsia"/>
          <w:b/>
          <w:color w:val="000000"/>
          <w:kern w:val="0"/>
          <w:sz w:val="28"/>
          <w:szCs w:val="28"/>
        </w:rPr>
        <w:t> </w:t>
      </w:r>
      <w:r w:rsidRPr="00F944D1">
        <w:rPr>
          <w:rFonts w:ascii="仿宋" w:eastAsia="仿宋" w:hAnsi="仿宋" w:cs="宋体" w:hint="eastAsia"/>
          <w:b/>
          <w:color w:val="000000"/>
          <w:kern w:val="0"/>
          <w:sz w:val="28"/>
          <w:szCs w:val="28"/>
        </w:rPr>
        <w:t>（两名并列第一作者）</w:t>
      </w:r>
    </w:p>
    <w:tbl>
      <w:tblPr>
        <w:tblW w:w="10417" w:type="dxa"/>
        <w:jc w:val="center"/>
        <w:tblLayout w:type="fixed"/>
        <w:tblCellMar>
          <w:left w:w="0" w:type="dxa"/>
          <w:right w:w="0" w:type="dxa"/>
        </w:tblCellMar>
        <w:tblLook w:val="04A0" w:firstRow="1" w:lastRow="0" w:firstColumn="1" w:lastColumn="0" w:noHBand="0" w:noVBand="1"/>
      </w:tblPr>
      <w:tblGrid>
        <w:gridCol w:w="729"/>
        <w:gridCol w:w="4949"/>
        <w:gridCol w:w="4739"/>
      </w:tblGrid>
      <w:tr w:rsidR="00061DA9" w:rsidRPr="00F944D1">
        <w:trPr>
          <w:trHeight w:val="349"/>
          <w:tblHeader/>
          <w:jc w:val="center"/>
        </w:trPr>
        <w:tc>
          <w:tcPr>
            <w:tcW w:w="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hint="eastAsia"/>
                <w:b/>
                <w:color w:val="000000"/>
                <w:kern w:val="0"/>
                <w:sz w:val="24"/>
                <w:szCs w:val="24"/>
              </w:rPr>
              <w:t>序号</w:t>
            </w:r>
          </w:p>
        </w:tc>
        <w:tc>
          <w:tcPr>
            <w:tcW w:w="494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作者排序样式</w:t>
            </w:r>
          </w:p>
        </w:tc>
        <w:tc>
          <w:tcPr>
            <w:tcW w:w="473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b/>
                <w:color w:val="000000"/>
                <w:kern w:val="0"/>
                <w:sz w:val="24"/>
                <w:szCs w:val="24"/>
              </w:rPr>
            </w:pPr>
            <w:r w:rsidRPr="00F944D1">
              <w:rPr>
                <w:rFonts w:ascii="仿宋" w:eastAsia="仿宋" w:hAnsi="仿宋" w:cs="宋体"/>
                <w:b/>
                <w:color w:val="000000"/>
                <w:kern w:val="0"/>
                <w:sz w:val="24"/>
                <w:szCs w:val="24"/>
              </w:rPr>
              <w:t>加分方法</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1</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w:t>
            </w:r>
            <w:r w:rsidRPr="00F944D1">
              <w:rPr>
                <w:rFonts w:ascii="仿宋" w:eastAsia="仿宋" w:hAnsi="仿宋" w:cs="宋体" w:hint="eastAsia"/>
                <w:color w:val="000000"/>
                <w:kern w:val="0"/>
                <w:sz w:val="24"/>
                <w:szCs w:val="24"/>
              </w:rPr>
              <w:t>a(并列第1)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学生b(并列第1)+学生c</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b/>
                <w:color w:val="FF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r w:rsidRPr="00F944D1">
              <w:rPr>
                <w:rFonts w:ascii="仿宋" w:eastAsia="仿宋" w:hAnsi="仿宋" w:cs="宋体"/>
                <w:color w:val="000000"/>
                <w:kern w:val="0"/>
                <w:sz w:val="24"/>
                <w:szCs w:val="24"/>
              </w:rPr>
              <w:t>学生b加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r w:rsidRPr="00F944D1">
              <w:rPr>
                <w:rFonts w:ascii="仿宋" w:eastAsia="仿宋" w:hAnsi="仿宋" w:cs="宋体"/>
                <w:color w:val="000000"/>
                <w:kern w:val="0"/>
                <w:sz w:val="24"/>
                <w:szCs w:val="24"/>
              </w:rPr>
              <w:t xml:space="preserve"> 学生c加</w:t>
            </w:r>
            <w:r w:rsidRPr="00F944D1">
              <w:rPr>
                <w:rFonts w:ascii="仿宋" w:eastAsia="仿宋" w:hAnsi="仿宋" w:cs="宋体" w:hint="eastAsia"/>
                <w:color w:val="000000"/>
                <w:kern w:val="0"/>
                <w:sz w:val="24"/>
                <w:szCs w:val="24"/>
              </w:rPr>
              <w:t>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2</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w:t>
            </w:r>
            <w:r w:rsidRPr="00F944D1">
              <w:rPr>
                <w:rFonts w:ascii="仿宋" w:eastAsia="仿宋" w:hAnsi="仿宋" w:cs="宋体" w:hint="eastAsia"/>
                <w:color w:val="000000"/>
                <w:kern w:val="0"/>
                <w:sz w:val="24"/>
                <w:szCs w:val="24"/>
              </w:rPr>
              <w:t>a(并列第1)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学生b(并列第1)+</w:t>
            </w:r>
            <w:r w:rsidRPr="00F944D1">
              <w:rPr>
                <w:rFonts w:ascii="仿宋" w:eastAsia="仿宋" w:hAnsi="仿宋" w:cs="宋体"/>
                <w:color w:val="000000"/>
                <w:kern w:val="0"/>
                <w:sz w:val="24"/>
                <w:szCs w:val="24"/>
              </w:rPr>
              <w:t>老师</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r w:rsidRPr="00F944D1">
              <w:rPr>
                <w:rFonts w:ascii="仿宋" w:eastAsia="仿宋" w:hAnsi="仿宋" w:cs="宋体"/>
                <w:color w:val="000000"/>
                <w:kern w:val="0"/>
                <w:sz w:val="24"/>
                <w:szCs w:val="24"/>
              </w:rPr>
              <w:t>学生b加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3</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学生a(并列第1)+ 老师(并列第1)+学生b</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r w:rsidRPr="00F944D1">
              <w:rPr>
                <w:rFonts w:ascii="仿宋" w:eastAsia="仿宋" w:hAnsi="仿宋" w:cs="宋体"/>
                <w:color w:val="000000"/>
                <w:kern w:val="0"/>
                <w:sz w:val="24"/>
                <w:szCs w:val="24"/>
              </w:rPr>
              <w:t>学生b加</w:t>
            </w:r>
            <w:r w:rsidRPr="00F944D1">
              <w:rPr>
                <w:rFonts w:ascii="仿宋" w:eastAsia="仿宋" w:hAnsi="仿宋" w:cs="宋体" w:hint="eastAsia"/>
                <w:color w:val="000000"/>
                <w:kern w:val="0"/>
                <w:sz w:val="24"/>
                <w:szCs w:val="24"/>
              </w:rPr>
              <w:t>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4</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学生a(并列第1)+ 老师(并列第1)+</w:t>
            </w:r>
            <w:r w:rsidRPr="00F944D1">
              <w:rPr>
                <w:rFonts w:ascii="仿宋" w:eastAsia="仿宋" w:hAnsi="仿宋" w:cs="宋体"/>
                <w:color w:val="000000"/>
                <w:kern w:val="0"/>
                <w:sz w:val="24"/>
                <w:szCs w:val="24"/>
              </w:rPr>
              <w:t>老师</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5</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老师(并列第1)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学生a(并列第1)+学生b</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r w:rsidRPr="00F944D1">
              <w:rPr>
                <w:rFonts w:ascii="仿宋" w:eastAsia="仿宋" w:hAnsi="仿宋" w:cs="宋体"/>
                <w:color w:val="000000"/>
                <w:kern w:val="0"/>
                <w:sz w:val="24"/>
                <w:szCs w:val="24"/>
              </w:rPr>
              <w:t>学生b加</w:t>
            </w:r>
            <w:r w:rsidRPr="00F944D1">
              <w:rPr>
                <w:rFonts w:ascii="仿宋" w:eastAsia="仿宋" w:hAnsi="仿宋" w:cs="宋体" w:hint="eastAsia"/>
                <w:color w:val="000000"/>
                <w:kern w:val="0"/>
                <w:sz w:val="24"/>
                <w:szCs w:val="24"/>
              </w:rPr>
              <w:t>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r w:rsidR="00061DA9" w:rsidRPr="00F944D1">
        <w:trPr>
          <w:trHeight w:val="315"/>
          <w:jc w:val="center"/>
        </w:trPr>
        <w:tc>
          <w:tcPr>
            <w:tcW w:w="7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ind w:hanging="110"/>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lastRenderedPageBreak/>
              <w:t>6</w:t>
            </w:r>
          </w:p>
        </w:tc>
        <w:tc>
          <w:tcPr>
            <w:tcW w:w="494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hint="eastAsia"/>
                <w:color w:val="000000"/>
                <w:kern w:val="0"/>
                <w:sz w:val="24"/>
                <w:szCs w:val="24"/>
              </w:rPr>
              <w:t>老师(并列第1)</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学生a(并列第1)+</w:t>
            </w:r>
            <w:r w:rsidRPr="00F944D1">
              <w:rPr>
                <w:rFonts w:ascii="仿宋" w:eastAsia="仿宋" w:hAnsi="仿宋" w:cs="宋体"/>
                <w:color w:val="000000"/>
                <w:kern w:val="0"/>
                <w:sz w:val="24"/>
                <w:szCs w:val="24"/>
              </w:rPr>
              <w:t>老师</w:t>
            </w:r>
          </w:p>
        </w:tc>
        <w:tc>
          <w:tcPr>
            <w:tcW w:w="4739" w:type="dxa"/>
            <w:tcBorders>
              <w:top w:val="nil"/>
              <w:left w:val="nil"/>
              <w:bottom w:val="single" w:sz="8" w:space="0" w:color="auto"/>
              <w:right w:val="single" w:sz="8" w:space="0" w:color="auto"/>
            </w:tcBorders>
            <w:tcMar>
              <w:top w:w="0" w:type="dxa"/>
              <w:left w:w="108" w:type="dxa"/>
              <w:bottom w:w="0" w:type="dxa"/>
              <w:right w:w="108" w:type="dxa"/>
            </w:tcMar>
            <w:vAlign w:val="center"/>
          </w:tcPr>
          <w:p w:rsidR="00061DA9" w:rsidRPr="00F944D1" w:rsidRDefault="00A264BC" w:rsidP="00441290">
            <w:pPr>
              <w:widowControl/>
              <w:spacing w:line="480" w:lineRule="exact"/>
              <w:jc w:val="center"/>
              <w:rPr>
                <w:rFonts w:ascii="仿宋" w:eastAsia="仿宋" w:hAnsi="仿宋" w:cs="宋体"/>
                <w:color w:val="000000"/>
                <w:kern w:val="0"/>
                <w:sz w:val="24"/>
                <w:szCs w:val="24"/>
              </w:rPr>
            </w:pPr>
            <w:r w:rsidRPr="00F944D1">
              <w:rPr>
                <w:rFonts w:ascii="仿宋" w:eastAsia="仿宋" w:hAnsi="仿宋" w:cs="宋体"/>
                <w:color w:val="000000"/>
                <w:kern w:val="0"/>
                <w:sz w:val="24"/>
                <w:szCs w:val="24"/>
              </w:rPr>
              <w:t>学生a加</w:t>
            </w:r>
            <w:r w:rsidRPr="00F944D1">
              <w:rPr>
                <w:rFonts w:ascii="仿宋" w:eastAsia="仿宋" w:hAnsi="仿宋" w:cs="宋体" w:hint="eastAsia"/>
                <w:color w:val="000000"/>
                <w:kern w:val="0"/>
                <w:sz w:val="24"/>
                <w:szCs w:val="24"/>
              </w:rPr>
              <w:t>2</w:t>
            </w:r>
            <w:r w:rsidRPr="00F944D1">
              <w:rPr>
                <w:rFonts w:ascii="仿宋" w:eastAsia="仿宋" w:hAnsi="仿宋" w:cs="宋体"/>
                <w:color w:val="000000"/>
                <w:kern w:val="0"/>
                <w:sz w:val="24"/>
                <w:szCs w:val="24"/>
              </w:rPr>
              <w:t>/</w:t>
            </w:r>
            <w:r w:rsidRPr="00F944D1">
              <w:rPr>
                <w:rFonts w:ascii="仿宋" w:eastAsia="仿宋" w:hAnsi="仿宋" w:cs="宋体" w:hint="eastAsia"/>
                <w:color w:val="000000"/>
                <w:kern w:val="0"/>
                <w:sz w:val="24"/>
                <w:szCs w:val="24"/>
              </w:rPr>
              <w:t>5</w:t>
            </w:r>
          </w:p>
        </w:tc>
      </w:tr>
    </w:tbl>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4）文章出现两名以上并列第一作者时：</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文章出现n（n≥3）名并列第一作者时，每名作者加分1/n；</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5、学术论文积分核算还包括以下规定：</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（1）所有发表论文必须出具论文或录取通知书原件和复印件并经导师签名认可，三大索引收录以华工图书馆出具的证明为准；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（2）所有参评的论文，包括以下的专利，第一作者单位必须是华南理工大学生物科学与工程学院；</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（3）同时进入几个索引的文章以单个索引最高分计算；</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（4）在国外期刊上发表英文论文（非SCI、EI）按其他类核心期刊加分；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（5）对于以第一作者发表了会议论文，但是没有出席会议则按相应分数的一半加分；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（6）上一年评优使用“录用通知书”进行加分的同学，必须于第二年评优时提供相应的见刊刊物，一旦查实见刊论文的作者与录用通知书上的作者不一致，将取消该生当年评优资格；</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（三）申请专利积分（含</w:t>
      </w:r>
      <w:r w:rsidRPr="00F944D1">
        <w:rPr>
          <w:rFonts w:ascii="仿宋" w:eastAsia="仿宋" w:hAnsi="仿宋" w:cs="Times New Roman"/>
          <w:b/>
          <w:sz w:val="28"/>
          <w:szCs w:val="28"/>
        </w:rPr>
        <w:t>导师，分数</w:t>
      </w:r>
      <w:r w:rsidRPr="00F944D1">
        <w:rPr>
          <w:rFonts w:ascii="仿宋" w:eastAsia="仿宋" w:hAnsi="仿宋" w:cs="Times New Roman" w:hint="eastAsia"/>
          <w:b/>
          <w:sz w:val="28"/>
          <w:szCs w:val="28"/>
        </w:rPr>
        <w:t>分配</w:t>
      </w:r>
      <w:r w:rsidRPr="00F944D1">
        <w:rPr>
          <w:rFonts w:ascii="仿宋" w:eastAsia="仿宋" w:hAnsi="仿宋" w:cs="Times New Roman"/>
          <w:b/>
          <w:sz w:val="28"/>
          <w:szCs w:val="28"/>
        </w:rPr>
        <w:t>如下</w:t>
      </w:r>
      <w:r w:rsidRPr="00F944D1">
        <w:rPr>
          <w:rFonts w:ascii="仿宋" w:eastAsia="仿宋" w:hAnsi="仿宋" w:cs="Times New Roman" w:hint="eastAsia"/>
          <w:b/>
          <w:sz w:val="28"/>
          <w:szCs w:val="28"/>
        </w:rPr>
        <w:t>）</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专利署名单位必须是华南理工大学生物科学与工程学院。</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1、接受申请：</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发明专利加0.5分（以受理通知书为准，每人限1篇），发明专利第一、二名分别加0.3分和0.2分。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w:t>
      </w:r>
      <w:r w:rsidRPr="00F944D1">
        <w:rPr>
          <w:rFonts w:ascii="仿宋" w:eastAsia="仿宋" w:hAnsi="仿宋" w:cs="Times New Roman"/>
          <w:sz w:val="28"/>
          <w:szCs w:val="28"/>
        </w:rPr>
        <w:t>已授权：</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发明专利加18分，实用新型专利加6分。（以专利证书为准）</w:t>
      </w:r>
      <w:r w:rsidRPr="00F944D1">
        <w:rPr>
          <w:rFonts w:ascii="仿宋" w:eastAsia="仿宋" w:hAnsi="仿宋" w:cs="Times New Roman" w:hint="eastAsia"/>
          <w:sz w:val="28"/>
          <w:szCs w:val="28"/>
        </w:rPr>
        <w:t>：</w:t>
      </w:r>
      <w:r w:rsidRPr="00F944D1">
        <w:rPr>
          <w:rFonts w:ascii="仿宋" w:eastAsia="仿宋" w:hAnsi="仿宋" w:cs="Times New Roman"/>
          <w:sz w:val="28"/>
          <w:szCs w:val="28"/>
        </w:rPr>
        <w:t>发明专利第一、二、三名分别加9分、6分和3分；实用新型专利第一、二、三名分别加3分、2分和1分。</w:t>
      </w:r>
      <w:r w:rsidRPr="00F944D1">
        <w:rPr>
          <w:rFonts w:ascii="仿宋" w:eastAsia="仿宋" w:hAnsi="Times New Roman" w:cs="Times New Roman"/>
          <w:sz w:val="28"/>
          <w:szCs w:val="28"/>
        </w:rPr>
        <w:t> </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注：若有其他特殊情况，由学院学位评定委员会最终确定。</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（四）各类学术、科技竞赛积分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lastRenderedPageBreak/>
        <w:t>为了鼓励研究生积极参与各种学术讨论、竞赛，如IGEM（</w:t>
      </w:r>
      <w:r w:rsidRPr="00F944D1">
        <w:rPr>
          <w:rFonts w:ascii="仿宋" w:eastAsia="仿宋" w:hAnsi="仿宋" w:cs="Times New Roman"/>
          <w:sz w:val="28"/>
          <w:szCs w:val="28"/>
        </w:rPr>
        <w:t>国际遗传工程</w:t>
      </w:r>
      <w:r w:rsidRPr="00F944D1">
        <w:rPr>
          <w:rFonts w:ascii="仿宋" w:eastAsia="仿宋" w:hAnsi="仿宋" w:cs="Times New Roman" w:hint="eastAsia"/>
          <w:sz w:val="28"/>
          <w:szCs w:val="28"/>
        </w:rPr>
        <w:t>机器</w:t>
      </w:r>
      <w:r w:rsidRPr="00F944D1">
        <w:rPr>
          <w:rFonts w:ascii="仿宋" w:eastAsia="仿宋" w:hAnsi="仿宋" w:cs="Times New Roman"/>
          <w:sz w:val="28"/>
          <w:szCs w:val="28"/>
        </w:rPr>
        <w:t>设计竞赛</w:t>
      </w:r>
      <w:r w:rsidRPr="00F944D1">
        <w:rPr>
          <w:rFonts w:ascii="仿宋" w:eastAsia="仿宋" w:hAnsi="仿宋" w:cs="Times New Roman" w:hint="eastAsia"/>
          <w:sz w:val="28"/>
          <w:szCs w:val="28"/>
        </w:rPr>
        <w:t>）、挑战杯</w:t>
      </w:r>
      <w:r w:rsidRPr="00F944D1">
        <w:rPr>
          <w:rFonts w:ascii="仿宋" w:eastAsia="仿宋" w:hAnsi="仿宋" w:cs="Times New Roman"/>
          <w:sz w:val="28"/>
          <w:szCs w:val="28"/>
        </w:rPr>
        <w:t>（课外学术科技作品竞赛、创业大赛）</w:t>
      </w:r>
      <w:r w:rsidRPr="00F944D1">
        <w:rPr>
          <w:rFonts w:ascii="仿宋" w:eastAsia="仿宋" w:hAnsi="仿宋" w:cs="Times New Roman" w:hint="eastAsia"/>
          <w:sz w:val="28"/>
          <w:szCs w:val="28"/>
        </w:rPr>
        <w:t>、研究生院的学术征文等，对获得相关奖励的学生给予如下加分：</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sz w:val="28"/>
          <w:szCs w:val="28"/>
        </w:rPr>
        <w:t>获得</w:t>
      </w:r>
      <w:r w:rsidRPr="00F944D1">
        <w:rPr>
          <w:rFonts w:ascii="仿宋" w:eastAsia="仿宋" w:hAnsi="仿宋" w:cs="Times New Roman" w:hint="eastAsia"/>
          <w:sz w:val="28"/>
          <w:szCs w:val="28"/>
        </w:rPr>
        <w:t>国际一、二、三等奖分别加25分、20分和15分；获得</w:t>
      </w:r>
      <w:r w:rsidRPr="00F944D1">
        <w:rPr>
          <w:rFonts w:ascii="仿宋" w:eastAsia="仿宋" w:hAnsi="仿宋" w:cs="Times New Roman"/>
          <w:sz w:val="28"/>
          <w:szCs w:val="28"/>
        </w:rPr>
        <w:t>全国一、二、三等奖分别加</w:t>
      </w:r>
      <w:r w:rsidRPr="00F944D1">
        <w:rPr>
          <w:rFonts w:ascii="仿宋" w:eastAsia="仿宋" w:hAnsi="仿宋" w:cs="Times New Roman" w:hint="eastAsia"/>
          <w:sz w:val="28"/>
          <w:szCs w:val="28"/>
        </w:rPr>
        <w:t>20</w:t>
      </w:r>
      <w:r w:rsidRPr="00F944D1">
        <w:rPr>
          <w:rFonts w:ascii="仿宋" w:eastAsia="仿宋" w:hAnsi="仿宋" w:cs="Times New Roman"/>
          <w:sz w:val="28"/>
          <w:szCs w:val="28"/>
        </w:rPr>
        <w:t>分、</w:t>
      </w:r>
      <w:r w:rsidRPr="00F944D1">
        <w:rPr>
          <w:rFonts w:ascii="仿宋" w:eastAsia="仿宋" w:hAnsi="仿宋" w:cs="Times New Roman" w:hint="eastAsia"/>
          <w:sz w:val="28"/>
          <w:szCs w:val="28"/>
        </w:rPr>
        <w:t>15</w:t>
      </w:r>
      <w:r w:rsidRPr="00F944D1">
        <w:rPr>
          <w:rFonts w:ascii="仿宋" w:eastAsia="仿宋" w:hAnsi="仿宋" w:cs="Times New Roman"/>
          <w:sz w:val="28"/>
          <w:szCs w:val="28"/>
        </w:rPr>
        <w:t>分和</w:t>
      </w:r>
      <w:r w:rsidRPr="00F944D1">
        <w:rPr>
          <w:rFonts w:ascii="仿宋" w:eastAsia="仿宋" w:hAnsi="仿宋" w:cs="Times New Roman" w:hint="eastAsia"/>
          <w:sz w:val="28"/>
          <w:szCs w:val="28"/>
        </w:rPr>
        <w:t>10</w:t>
      </w:r>
      <w:r w:rsidRPr="00F944D1">
        <w:rPr>
          <w:rFonts w:ascii="仿宋" w:eastAsia="仿宋" w:hAnsi="仿宋" w:cs="Times New Roman"/>
          <w:sz w:val="28"/>
          <w:szCs w:val="28"/>
        </w:rPr>
        <w:t>分；获得省级一、二、三等奖分别加</w:t>
      </w:r>
      <w:r w:rsidRPr="00F944D1">
        <w:rPr>
          <w:rFonts w:ascii="仿宋" w:eastAsia="仿宋" w:hAnsi="仿宋" w:cs="Times New Roman" w:hint="eastAsia"/>
          <w:sz w:val="28"/>
          <w:szCs w:val="28"/>
        </w:rPr>
        <w:t>15</w:t>
      </w:r>
      <w:r w:rsidRPr="00F944D1">
        <w:rPr>
          <w:rFonts w:ascii="仿宋" w:eastAsia="仿宋" w:hAnsi="仿宋" w:cs="Times New Roman"/>
          <w:sz w:val="28"/>
          <w:szCs w:val="28"/>
        </w:rPr>
        <w:t>分、</w:t>
      </w:r>
      <w:r w:rsidRPr="00F944D1">
        <w:rPr>
          <w:rFonts w:ascii="仿宋" w:eastAsia="仿宋" w:hAnsi="仿宋" w:cs="Times New Roman" w:hint="eastAsia"/>
          <w:sz w:val="28"/>
          <w:szCs w:val="28"/>
        </w:rPr>
        <w:t>10</w:t>
      </w:r>
      <w:r w:rsidRPr="00F944D1">
        <w:rPr>
          <w:rFonts w:ascii="仿宋" w:eastAsia="仿宋" w:hAnsi="仿宋" w:cs="Times New Roman"/>
          <w:sz w:val="28"/>
          <w:szCs w:val="28"/>
        </w:rPr>
        <w:t>分和</w:t>
      </w:r>
      <w:r w:rsidRPr="00F944D1">
        <w:rPr>
          <w:rFonts w:ascii="仿宋" w:eastAsia="仿宋" w:hAnsi="仿宋" w:cs="Times New Roman" w:hint="eastAsia"/>
          <w:sz w:val="28"/>
          <w:szCs w:val="28"/>
        </w:rPr>
        <w:t>5</w:t>
      </w:r>
      <w:r w:rsidRPr="00F944D1">
        <w:rPr>
          <w:rFonts w:ascii="仿宋" w:eastAsia="仿宋" w:hAnsi="仿宋" w:cs="Times New Roman"/>
          <w:sz w:val="28"/>
          <w:szCs w:val="28"/>
        </w:rPr>
        <w:t>分；获得校级一、二、三等奖分别加</w:t>
      </w:r>
      <w:r w:rsidRPr="00F944D1">
        <w:rPr>
          <w:rFonts w:ascii="仿宋" w:eastAsia="仿宋" w:hAnsi="仿宋" w:cs="Times New Roman" w:hint="eastAsia"/>
          <w:sz w:val="28"/>
          <w:szCs w:val="28"/>
        </w:rPr>
        <w:t>3</w:t>
      </w:r>
      <w:r w:rsidRPr="00F944D1">
        <w:rPr>
          <w:rFonts w:ascii="仿宋" w:eastAsia="仿宋" w:hAnsi="仿宋" w:cs="Times New Roman"/>
          <w:sz w:val="28"/>
          <w:szCs w:val="28"/>
        </w:rPr>
        <w:t>分、</w:t>
      </w:r>
      <w:r w:rsidRPr="00F944D1">
        <w:rPr>
          <w:rFonts w:ascii="仿宋" w:eastAsia="仿宋" w:hAnsi="仿宋" w:cs="Times New Roman" w:hint="eastAsia"/>
          <w:sz w:val="28"/>
          <w:szCs w:val="28"/>
        </w:rPr>
        <w:t>2</w:t>
      </w:r>
      <w:r w:rsidRPr="00F944D1">
        <w:rPr>
          <w:rFonts w:ascii="仿宋" w:eastAsia="仿宋" w:hAnsi="仿宋" w:cs="Times New Roman"/>
          <w:sz w:val="28"/>
          <w:szCs w:val="28"/>
        </w:rPr>
        <w:t>分、</w:t>
      </w:r>
      <w:r w:rsidRPr="00F944D1">
        <w:rPr>
          <w:rFonts w:ascii="仿宋" w:eastAsia="仿宋" w:hAnsi="仿宋" w:cs="Times New Roman" w:hint="eastAsia"/>
          <w:sz w:val="28"/>
          <w:szCs w:val="28"/>
        </w:rPr>
        <w:t>1</w:t>
      </w:r>
      <w:r w:rsidRPr="00F944D1">
        <w:rPr>
          <w:rFonts w:ascii="仿宋" w:eastAsia="仿宋" w:hAnsi="仿宋" w:cs="Times New Roman"/>
          <w:sz w:val="28"/>
          <w:szCs w:val="28"/>
        </w:rPr>
        <w:t>分</w:t>
      </w:r>
      <w:r w:rsidRPr="00F944D1">
        <w:rPr>
          <w:rFonts w:ascii="仿宋" w:eastAsia="仿宋" w:hAnsi="仿宋" w:cs="Times New Roman" w:hint="eastAsia"/>
          <w:sz w:val="28"/>
          <w:szCs w:val="28"/>
        </w:rPr>
        <w:t>，详见表6。</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此外，为鼓励研究生指导本科生参与竞赛的积极性，凡指导本科生参与各类竞赛并获得奖励者，指导者本人（每支队伍限1人）参照本科生队伍的获奖等级按表6进行相应加分。</w:t>
      </w:r>
    </w:p>
    <w:p w:rsidR="00061DA9" w:rsidRPr="00F944D1" w:rsidRDefault="00A264BC" w:rsidP="00441290">
      <w:pPr>
        <w:adjustRightInd w:val="0"/>
        <w:snapToGrid w:val="0"/>
        <w:spacing w:line="480" w:lineRule="exact"/>
        <w:ind w:firstLineChars="200" w:firstLine="562"/>
        <w:jc w:val="center"/>
        <w:rPr>
          <w:rFonts w:ascii="仿宋" w:eastAsia="仿宋" w:hAnsi="仿宋" w:cs="Times New Roman"/>
          <w:sz w:val="28"/>
          <w:szCs w:val="28"/>
        </w:rPr>
      </w:pPr>
      <w:r w:rsidRPr="00F944D1">
        <w:rPr>
          <w:rFonts w:ascii="仿宋" w:eastAsia="仿宋" w:hAnsi="仿宋" w:cs="宋体" w:hint="eastAsia"/>
          <w:b/>
          <w:color w:val="000000"/>
          <w:kern w:val="0"/>
          <w:sz w:val="28"/>
          <w:szCs w:val="28"/>
        </w:rPr>
        <w:t>表6 各类学术、科技竞赛加分方法表</w:t>
      </w:r>
      <w:r w:rsidRPr="00F944D1">
        <w:rPr>
          <w:rFonts w:eastAsia="仿宋" w:cs="宋体" w:hint="eastAsia"/>
          <w:b/>
          <w:color w:val="000000"/>
          <w:kern w:val="0"/>
          <w:sz w:val="28"/>
          <w:szCs w:val="28"/>
        </w:rPr>
        <w:t> </w:t>
      </w:r>
    </w:p>
    <w:tbl>
      <w:tblPr>
        <w:tblW w:w="686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02"/>
        <w:gridCol w:w="1703"/>
        <w:gridCol w:w="1703"/>
        <w:gridCol w:w="1760"/>
      </w:tblGrid>
      <w:tr w:rsidR="00061DA9" w:rsidRPr="00F944D1">
        <w:trPr>
          <w:cantSplit/>
          <w:jc w:val="center"/>
        </w:trPr>
        <w:tc>
          <w:tcPr>
            <w:tcW w:w="1702" w:type="dxa"/>
            <w:vMerge w:val="restart"/>
            <w:vAlign w:val="center"/>
          </w:tcPr>
          <w:p w:rsidR="00061DA9" w:rsidRPr="00F944D1" w:rsidRDefault="00A264BC" w:rsidP="00441290">
            <w:pPr>
              <w:spacing w:line="480" w:lineRule="exact"/>
              <w:jc w:val="center"/>
              <w:rPr>
                <w:rFonts w:ascii="仿宋" w:eastAsia="仿宋" w:hAnsi="仿宋"/>
                <w:b/>
                <w:color w:val="000000"/>
                <w:sz w:val="24"/>
                <w:szCs w:val="24"/>
              </w:rPr>
            </w:pPr>
            <w:r w:rsidRPr="00F944D1">
              <w:rPr>
                <w:rFonts w:ascii="仿宋" w:eastAsia="仿宋" w:hAnsi="仿宋" w:hint="eastAsia"/>
                <w:b/>
                <w:color w:val="000000"/>
                <w:sz w:val="24"/>
                <w:szCs w:val="24"/>
              </w:rPr>
              <w:t>类别</w:t>
            </w:r>
          </w:p>
        </w:tc>
        <w:tc>
          <w:tcPr>
            <w:tcW w:w="5166" w:type="dxa"/>
            <w:gridSpan w:val="3"/>
            <w:vAlign w:val="center"/>
          </w:tcPr>
          <w:p w:rsidR="00061DA9" w:rsidRPr="00F944D1" w:rsidRDefault="00A264BC" w:rsidP="00441290">
            <w:pPr>
              <w:spacing w:line="480" w:lineRule="exact"/>
              <w:jc w:val="center"/>
              <w:rPr>
                <w:rFonts w:ascii="仿宋" w:eastAsia="仿宋" w:hAnsi="仿宋"/>
                <w:b/>
                <w:color w:val="000000"/>
                <w:sz w:val="24"/>
                <w:szCs w:val="24"/>
              </w:rPr>
            </w:pPr>
            <w:r w:rsidRPr="00F944D1">
              <w:rPr>
                <w:rFonts w:ascii="仿宋" w:eastAsia="仿宋" w:hAnsi="仿宋" w:hint="eastAsia"/>
                <w:b/>
                <w:color w:val="000000"/>
                <w:sz w:val="24"/>
                <w:szCs w:val="24"/>
              </w:rPr>
              <w:t>等级</w:t>
            </w:r>
          </w:p>
        </w:tc>
      </w:tr>
      <w:tr w:rsidR="00061DA9" w:rsidRPr="00F944D1">
        <w:trPr>
          <w:cantSplit/>
          <w:jc w:val="center"/>
        </w:trPr>
        <w:tc>
          <w:tcPr>
            <w:tcW w:w="1702" w:type="dxa"/>
            <w:vMerge/>
            <w:vAlign w:val="center"/>
          </w:tcPr>
          <w:p w:rsidR="00061DA9" w:rsidRPr="00F944D1" w:rsidRDefault="00061DA9" w:rsidP="00441290">
            <w:pPr>
              <w:spacing w:line="480" w:lineRule="exact"/>
              <w:jc w:val="center"/>
              <w:rPr>
                <w:rFonts w:ascii="仿宋" w:eastAsia="仿宋" w:hAnsi="仿宋"/>
                <w:color w:val="000000"/>
                <w:sz w:val="24"/>
                <w:szCs w:val="24"/>
              </w:rPr>
            </w:pPr>
          </w:p>
        </w:tc>
        <w:tc>
          <w:tcPr>
            <w:tcW w:w="1703" w:type="dxa"/>
            <w:vAlign w:val="center"/>
          </w:tcPr>
          <w:p w:rsidR="00061DA9" w:rsidRPr="00F944D1" w:rsidRDefault="00A264BC" w:rsidP="00441290">
            <w:pPr>
              <w:spacing w:line="480" w:lineRule="exact"/>
              <w:jc w:val="center"/>
              <w:rPr>
                <w:rFonts w:ascii="仿宋" w:eastAsia="仿宋" w:hAnsi="仿宋"/>
                <w:b/>
                <w:color w:val="000000"/>
                <w:sz w:val="24"/>
                <w:szCs w:val="24"/>
              </w:rPr>
            </w:pPr>
            <w:r w:rsidRPr="00F944D1">
              <w:rPr>
                <w:rFonts w:ascii="仿宋" w:eastAsia="仿宋" w:hAnsi="仿宋" w:hint="eastAsia"/>
                <w:b/>
                <w:color w:val="000000"/>
                <w:sz w:val="24"/>
                <w:szCs w:val="24"/>
              </w:rPr>
              <w:t>一等及以上</w:t>
            </w:r>
          </w:p>
        </w:tc>
        <w:tc>
          <w:tcPr>
            <w:tcW w:w="1703" w:type="dxa"/>
            <w:vAlign w:val="center"/>
          </w:tcPr>
          <w:p w:rsidR="00061DA9" w:rsidRPr="00F944D1" w:rsidRDefault="00A264BC" w:rsidP="00441290">
            <w:pPr>
              <w:spacing w:line="480" w:lineRule="exact"/>
              <w:jc w:val="center"/>
              <w:rPr>
                <w:rFonts w:ascii="仿宋" w:eastAsia="仿宋" w:hAnsi="仿宋"/>
                <w:b/>
                <w:color w:val="000000"/>
                <w:sz w:val="24"/>
                <w:szCs w:val="24"/>
              </w:rPr>
            </w:pPr>
            <w:r w:rsidRPr="00F944D1">
              <w:rPr>
                <w:rFonts w:ascii="仿宋" w:eastAsia="仿宋" w:hAnsi="仿宋" w:hint="eastAsia"/>
                <w:b/>
                <w:color w:val="000000"/>
                <w:sz w:val="24"/>
                <w:szCs w:val="24"/>
              </w:rPr>
              <w:t>二等奖</w:t>
            </w:r>
          </w:p>
        </w:tc>
        <w:tc>
          <w:tcPr>
            <w:tcW w:w="1760" w:type="dxa"/>
            <w:vAlign w:val="center"/>
          </w:tcPr>
          <w:p w:rsidR="00061DA9" w:rsidRPr="00F944D1" w:rsidRDefault="00A264BC" w:rsidP="00441290">
            <w:pPr>
              <w:spacing w:line="480" w:lineRule="exact"/>
              <w:jc w:val="center"/>
              <w:rPr>
                <w:rFonts w:ascii="仿宋" w:eastAsia="仿宋" w:hAnsi="仿宋"/>
                <w:b/>
                <w:color w:val="000000"/>
                <w:sz w:val="24"/>
                <w:szCs w:val="24"/>
              </w:rPr>
            </w:pPr>
            <w:r w:rsidRPr="00F944D1">
              <w:rPr>
                <w:rFonts w:ascii="仿宋" w:eastAsia="仿宋" w:hAnsi="仿宋" w:hint="eastAsia"/>
                <w:b/>
                <w:color w:val="000000"/>
                <w:sz w:val="24"/>
                <w:szCs w:val="24"/>
              </w:rPr>
              <w:t>三等奖</w:t>
            </w:r>
          </w:p>
        </w:tc>
      </w:tr>
      <w:tr w:rsidR="00061DA9" w:rsidRPr="00F944D1">
        <w:trPr>
          <w:cantSplit/>
          <w:jc w:val="center"/>
        </w:trPr>
        <w:tc>
          <w:tcPr>
            <w:tcW w:w="1702"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国际级</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25</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20</w:t>
            </w:r>
          </w:p>
        </w:tc>
        <w:tc>
          <w:tcPr>
            <w:tcW w:w="1760"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15</w:t>
            </w:r>
          </w:p>
        </w:tc>
      </w:tr>
      <w:tr w:rsidR="00061DA9" w:rsidRPr="00F944D1">
        <w:trPr>
          <w:jc w:val="center"/>
        </w:trPr>
        <w:tc>
          <w:tcPr>
            <w:tcW w:w="1702"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国家级</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20</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15</w:t>
            </w:r>
          </w:p>
        </w:tc>
        <w:tc>
          <w:tcPr>
            <w:tcW w:w="1760"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10</w:t>
            </w:r>
          </w:p>
        </w:tc>
      </w:tr>
      <w:tr w:rsidR="00061DA9" w:rsidRPr="00F944D1">
        <w:trPr>
          <w:jc w:val="center"/>
        </w:trPr>
        <w:tc>
          <w:tcPr>
            <w:tcW w:w="1702"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省级</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15</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10</w:t>
            </w:r>
          </w:p>
        </w:tc>
        <w:tc>
          <w:tcPr>
            <w:tcW w:w="1760"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5</w:t>
            </w:r>
          </w:p>
        </w:tc>
      </w:tr>
      <w:tr w:rsidR="00061DA9" w:rsidRPr="00F944D1">
        <w:trPr>
          <w:jc w:val="center"/>
        </w:trPr>
        <w:tc>
          <w:tcPr>
            <w:tcW w:w="1702"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校级</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3</w:t>
            </w:r>
          </w:p>
        </w:tc>
        <w:tc>
          <w:tcPr>
            <w:tcW w:w="1703"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2</w:t>
            </w:r>
          </w:p>
        </w:tc>
        <w:tc>
          <w:tcPr>
            <w:tcW w:w="1760" w:type="dxa"/>
            <w:vAlign w:val="center"/>
          </w:tcPr>
          <w:p w:rsidR="00061DA9" w:rsidRPr="00F944D1" w:rsidRDefault="00A264BC" w:rsidP="00441290">
            <w:pPr>
              <w:spacing w:line="480" w:lineRule="exact"/>
              <w:jc w:val="center"/>
              <w:rPr>
                <w:rFonts w:ascii="仿宋" w:eastAsia="仿宋" w:hAnsi="仿宋"/>
                <w:color w:val="000000"/>
                <w:sz w:val="24"/>
                <w:szCs w:val="24"/>
              </w:rPr>
            </w:pPr>
            <w:r w:rsidRPr="00F944D1">
              <w:rPr>
                <w:rFonts w:ascii="仿宋" w:eastAsia="仿宋" w:hAnsi="仿宋" w:hint="eastAsia"/>
                <w:color w:val="000000"/>
                <w:sz w:val="24"/>
                <w:szCs w:val="24"/>
              </w:rPr>
              <w:t>1</w:t>
            </w:r>
          </w:p>
        </w:tc>
      </w:tr>
    </w:tbl>
    <w:p w:rsidR="00061DA9" w:rsidRPr="00F944D1" w:rsidRDefault="00A264BC" w:rsidP="00441290">
      <w:pPr>
        <w:adjustRightInd w:val="0"/>
        <w:snapToGrid w:val="0"/>
        <w:spacing w:line="480" w:lineRule="exact"/>
        <w:rPr>
          <w:rFonts w:ascii="仿宋" w:eastAsia="仿宋" w:hAnsi="仿宋" w:cs="Times New Roman"/>
          <w:sz w:val="28"/>
          <w:szCs w:val="28"/>
        </w:rPr>
      </w:pPr>
      <w:r w:rsidRPr="00F944D1">
        <w:rPr>
          <w:rFonts w:ascii="仿宋" w:eastAsia="仿宋" w:hAnsi="仿宋" w:cs="Times New Roman" w:hint="eastAsia"/>
          <w:sz w:val="28"/>
          <w:szCs w:val="28"/>
        </w:rPr>
        <w:t>注：</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1、署名的第一作者单位须是华南理工大学生物科学与工程学院；</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2、不同项目的加分可累加，同一项目（内容）参加不同级别比赛，</w:t>
      </w:r>
      <w:r w:rsidRPr="00F944D1">
        <w:rPr>
          <w:rFonts w:ascii="仿宋" w:eastAsia="仿宋" w:hAnsi="仿宋" w:cs="Times New Roman"/>
          <w:sz w:val="28"/>
          <w:szCs w:val="28"/>
        </w:rPr>
        <w:t>在同一比赛中获得两种以上不同</w:t>
      </w:r>
      <w:r w:rsidRPr="00F944D1">
        <w:rPr>
          <w:rFonts w:ascii="仿宋" w:eastAsia="仿宋" w:hAnsi="仿宋" w:cs="Times New Roman" w:hint="eastAsia"/>
          <w:sz w:val="28"/>
          <w:szCs w:val="28"/>
        </w:rPr>
        <w:t>奖励</w:t>
      </w:r>
      <w:r w:rsidRPr="00F944D1">
        <w:rPr>
          <w:rFonts w:ascii="仿宋" w:eastAsia="仿宋" w:hAnsi="仿宋" w:cs="Times New Roman"/>
          <w:sz w:val="28"/>
          <w:szCs w:val="28"/>
        </w:rPr>
        <w:t>均只按最高分加分，不累加</w:t>
      </w:r>
      <w:r w:rsidRPr="00F944D1">
        <w:rPr>
          <w:rFonts w:ascii="仿宋" w:eastAsia="仿宋" w:hAnsi="仿宋" w:cs="Times New Roman" w:hint="eastAsia"/>
          <w:sz w:val="28"/>
          <w:szCs w:val="28"/>
        </w:rPr>
        <w:t>；</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3、校级项目成员数多于两人的，</w:t>
      </w:r>
      <w:r w:rsidRPr="00F944D1">
        <w:rPr>
          <w:rFonts w:ascii="仿宋" w:eastAsia="仿宋" w:hAnsi="仿宋" w:cs="Times New Roman"/>
          <w:sz w:val="28"/>
          <w:szCs w:val="28"/>
        </w:rPr>
        <w:t>参与学生只取前三名，分数分配为：总分数乘以排名系数</w:t>
      </w:r>
      <w:r w:rsidRPr="00F944D1">
        <w:rPr>
          <w:rFonts w:ascii="仿宋" w:eastAsia="仿宋" w:hAnsi="仿宋" w:cs="Times New Roman" w:hint="eastAsia"/>
          <w:sz w:val="28"/>
          <w:szCs w:val="28"/>
        </w:rPr>
        <w:t>，</w:t>
      </w:r>
      <w:r w:rsidRPr="00F944D1">
        <w:rPr>
          <w:rFonts w:ascii="仿宋" w:eastAsia="仿宋" w:hAnsi="仿宋" w:cs="Times New Roman"/>
          <w:sz w:val="28"/>
          <w:szCs w:val="28"/>
        </w:rPr>
        <w:t>前三名的排名系数分别为：1/2</w:t>
      </w:r>
      <w:r w:rsidRPr="00F944D1">
        <w:rPr>
          <w:rFonts w:ascii="仿宋" w:eastAsia="仿宋" w:hAnsi="仿宋" w:cs="Times New Roman" w:hint="eastAsia"/>
          <w:sz w:val="28"/>
          <w:szCs w:val="28"/>
        </w:rPr>
        <w:t>、</w:t>
      </w:r>
      <w:r w:rsidRPr="00F944D1">
        <w:rPr>
          <w:rFonts w:ascii="仿宋" w:eastAsia="仿宋" w:hAnsi="仿宋" w:cs="Times New Roman"/>
          <w:sz w:val="28"/>
          <w:szCs w:val="28"/>
        </w:rPr>
        <w:t>1/3</w:t>
      </w:r>
      <w:r w:rsidRPr="00F944D1">
        <w:rPr>
          <w:rFonts w:ascii="仿宋" w:eastAsia="仿宋" w:hAnsi="仿宋" w:cs="Times New Roman" w:hint="eastAsia"/>
          <w:sz w:val="28"/>
          <w:szCs w:val="28"/>
        </w:rPr>
        <w:t>、</w:t>
      </w:r>
      <w:r w:rsidRPr="00F944D1">
        <w:rPr>
          <w:rFonts w:ascii="仿宋" w:eastAsia="仿宋" w:hAnsi="仿宋" w:cs="Times New Roman"/>
          <w:sz w:val="28"/>
          <w:szCs w:val="28"/>
        </w:rPr>
        <w:t>1/6</w:t>
      </w:r>
      <w:r w:rsidRPr="00F944D1">
        <w:rPr>
          <w:rFonts w:ascii="仿宋" w:eastAsia="仿宋" w:hAnsi="仿宋" w:cs="Times New Roman" w:hint="eastAsia"/>
          <w:sz w:val="28"/>
          <w:szCs w:val="28"/>
        </w:rPr>
        <w:t>；</w:t>
      </w:r>
    </w:p>
    <w:p w:rsidR="00061DA9" w:rsidRPr="00F944D1" w:rsidRDefault="00A264BC" w:rsidP="00441290">
      <w:pPr>
        <w:spacing w:beforeLines="50" w:before="156" w:afterLines="50" w:after="156"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4、省级项目成员数多于两人的，</w:t>
      </w:r>
      <w:r w:rsidRPr="00F944D1">
        <w:rPr>
          <w:rFonts w:ascii="仿宋" w:eastAsia="仿宋" w:hAnsi="仿宋" w:cs="Times New Roman"/>
          <w:sz w:val="28"/>
          <w:szCs w:val="28"/>
        </w:rPr>
        <w:t>参与学生只取前</w:t>
      </w:r>
      <w:r w:rsidRPr="00F944D1">
        <w:rPr>
          <w:rFonts w:ascii="仿宋" w:eastAsia="仿宋" w:hAnsi="仿宋" w:cs="Times New Roman" w:hint="eastAsia"/>
          <w:sz w:val="28"/>
          <w:szCs w:val="28"/>
        </w:rPr>
        <w:t>五</w:t>
      </w:r>
      <w:r w:rsidRPr="00F944D1">
        <w:rPr>
          <w:rFonts w:ascii="仿宋" w:eastAsia="仿宋" w:hAnsi="仿宋" w:cs="Times New Roman"/>
          <w:sz w:val="28"/>
          <w:szCs w:val="28"/>
        </w:rPr>
        <w:t>名，分数分配为：总分数乘以排名系数</w:t>
      </w:r>
      <w:r w:rsidRPr="00F944D1">
        <w:rPr>
          <w:rFonts w:ascii="仿宋" w:eastAsia="仿宋" w:hAnsi="仿宋" w:cs="Times New Roman" w:hint="eastAsia"/>
          <w:sz w:val="28"/>
          <w:szCs w:val="28"/>
        </w:rPr>
        <w:t>，</w:t>
      </w:r>
      <w:r w:rsidRPr="00F944D1">
        <w:rPr>
          <w:rFonts w:ascii="仿宋" w:eastAsia="仿宋" w:hAnsi="仿宋" w:cs="Times New Roman"/>
          <w:sz w:val="28"/>
          <w:szCs w:val="28"/>
        </w:rPr>
        <w:t>前三名的排名系数分别为：1/2</w:t>
      </w:r>
      <w:r w:rsidRPr="00F944D1">
        <w:rPr>
          <w:rFonts w:ascii="仿宋" w:eastAsia="仿宋" w:hAnsi="仿宋" w:cs="Times New Roman" w:hint="eastAsia"/>
          <w:sz w:val="28"/>
          <w:szCs w:val="28"/>
        </w:rPr>
        <w:t>、</w:t>
      </w:r>
      <w:r w:rsidRPr="00F944D1">
        <w:rPr>
          <w:rFonts w:ascii="仿宋" w:eastAsia="仿宋" w:hAnsi="仿宋" w:cs="Times New Roman"/>
          <w:sz w:val="28"/>
          <w:szCs w:val="28"/>
        </w:rPr>
        <w:t>1/3</w:t>
      </w:r>
      <w:r w:rsidRPr="00F944D1">
        <w:rPr>
          <w:rFonts w:ascii="仿宋" w:eastAsia="仿宋" w:hAnsi="仿宋" w:cs="Times New Roman" w:hint="eastAsia"/>
          <w:sz w:val="28"/>
          <w:szCs w:val="28"/>
        </w:rPr>
        <w:t>、</w:t>
      </w:r>
      <w:r w:rsidRPr="00F944D1">
        <w:rPr>
          <w:rFonts w:ascii="仿宋" w:eastAsia="仿宋" w:hAnsi="仿宋" w:cs="Times New Roman"/>
          <w:sz w:val="28"/>
          <w:szCs w:val="28"/>
        </w:rPr>
        <w:t>1/</w:t>
      </w:r>
      <w:r w:rsidRPr="00F944D1">
        <w:rPr>
          <w:rFonts w:ascii="仿宋" w:eastAsia="仿宋" w:hAnsi="仿宋" w:cs="Times New Roman" w:hint="eastAsia"/>
          <w:sz w:val="28"/>
          <w:szCs w:val="28"/>
        </w:rPr>
        <w:t>4，第4—5名可加</w:t>
      </w:r>
      <w:r w:rsidRPr="00F944D1">
        <w:rPr>
          <w:rFonts w:ascii="仿宋" w:eastAsia="仿宋" w:hAnsi="仿宋" w:cs="Times New Roman"/>
          <w:sz w:val="28"/>
          <w:szCs w:val="28"/>
        </w:rPr>
        <w:t>1/</w:t>
      </w:r>
      <w:r w:rsidRPr="00F944D1">
        <w:rPr>
          <w:rFonts w:ascii="仿宋" w:eastAsia="仿宋" w:hAnsi="仿宋" w:cs="Times New Roman" w:hint="eastAsia"/>
          <w:sz w:val="28"/>
          <w:szCs w:val="28"/>
        </w:rPr>
        <w:t>5分；</w:t>
      </w:r>
      <w:r w:rsidRPr="00F944D1">
        <w:rPr>
          <w:rFonts w:ascii="仿宋" w:eastAsia="仿宋" w:hAnsi="仿宋" w:cs="Times New Roman" w:hint="eastAsia"/>
          <w:sz w:val="28"/>
          <w:szCs w:val="28"/>
        </w:rPr>
        <w:br/>
        <w:t xml:space="preserve">    5、国家及国际级项目成员数多于两人的，</w:t>
      </w:r>
      <w:r w:rsidRPr="00F944D1">
        <w:rPr>
          <w:rFonts w:ascii="仿宋" w:eastAsia="仿宋" w:hAnsi="仿宋" w:cs="Times New Roman"/>
          <w:sz w:val="28"/>
          <w:szCs w:val="28"/>
        </w:rPr>
        <w:t>参与学生只取前</w:t>
      </w:r>
      <w:r w:rsidRPr="00F944D1">
        <w:rPr>
          <w:rFonts w:ascii="仿宋" w:eastAsia="仿宋" w:hAnsi="仿宋" w:cs="Times New Roman" w:hint="eastAsia"/>
          <w:sz w:val="28"/>
          <w:szCs w:val="28"/>
        </w:rPr>
        <w:t>八</w:t>
      </w:r>
      <w:r w:rsidRPr="00F944D1">
        <w:rPr>
          <w:rFonts w:ascii="仿宋" w:eastAsia="仿宋" w:hAnsi="仿宋" w:cs="Times New Roman"/>
          <w:sz w:val="28"/>
          <w:szCs w:val="28"/>
        </w:rPr>
        <w:t>名，</w:t>
      </w:r>
      <w:r w:rsidRPr="00F944D1">
        <w:rPr>
          <w:rFonts w:ascii="仿宋" w:eastAsia="仿宋" w:hAnsi="仿宋" w:cs="Times New Roman"/>
          <w:sz w:val="28"/>
          <w:szCs w:val="28"/>
        </w:rPr>
        <w:lastRenderedPageBreak/>
        <w:t>分数分配为：总分数乘以排名系数</w:t>
      </w:r>
      <w:r w:rsidRPr="00F944D1">
        <w:rPr>
          <w:rFonts w:ascii="仿宋" w:eastAsia="仿宋" w:hAnsi="仿宋" w:cs="Times New Roman" w:hint="eastAsia"/>
          <w:sz w:val="28"/>
          <w:szCs w:val="28"/>
        </w:rPr>
        <w:t>，</w:t>
      </w:r>
      <w:r w:rsidRPr="00F944D1">
        <w:rPr>
          <w:rFonts w:ascii="仿宋" w:eastAsia="仿宋" w:hAnsi="仿宋" w:cs="Times New Roman"/>
          <w:sz w:val="28"/>
          <w:szCs w:val="28"/>
        </w:rPr>
        <w:t>前三名的排名系数分别为：1/2</w:t>
      </w:r>
      <w:r w:rsidRPr="00F944D1">
        <w:rPr>
          <w:rFonts w:ascii="仿宋" w:eastAsia="仿宋" w:hAnsi="仿宋" w:cs="Times New Roman" w:hint="eastAsia"/>
          <w:sz w:val="28"/>
          <w:szCs w:val="28"/>
        </w:rPr>
        <w:t>、</w:t>
      </w:r>
      <w:r w:rsidRPr="00F944D1">
        <w:rPr>
          <w:rFonts w:ascii="仿宋" w:eastAsia="仿宋" w:hAnsi="仿宋" w:cs="Times New Roman"/>
          <w:sz w:val="28"/>
          <w:szCs w:val="28"/>
        </w:rPr>
        <w:t>1/3</w:t>
      </w:r>
      <w:r w:rsidRPr="00F944D1">
        <w:rPr>
          <w:rFonts w:ascii="仿宋" w:eastAsia="仿宋" w:hAnsi="仿宋" w:cs="Times New Roman" w:hint="eastAsia"/>
          <w:sz w:val="28"/>
          <w:szCs w:val="28"/>
        </w:rPr>
        <w:t>、</w:t>
      </w:r>
      <w:r w:rsidRPr="00F944D1">
        <w:rPr>
          <w:rFonts w:ascii="仿宋" w:eastAsia="仿宋" w:hAnsi="仿宋" w:cs="Times New Roman"/>
          <w:sz w:val="28"/>
          <w:szCs w:val="28"/>
        </w:rPr>
        <w:t>1/</w:t>
      </w:r>
      <w:r w:rsidRPr="00F944D1">
        <w:rPr>
          <w:rFonts w:ascii="仿宋" w:eastAsia="仿宋" w:hAnsi="仿宋" w:cs="Times New Roman" w:hint="eastAsia"/>
          <w:sz w:val="28"/>
          <w:szCs w:val="28"/>
        </w:rPr>
        <w:t>4、</w:t>
      </w:r>
      <w:r w:rsidRPr="00F944D1">
        <w:rPr>
          <w:rFonts w:ascii="仿宋" w:eastAsia="仿宋" w:hAnsi="仿宋" w:cs="Times New Roman"/>
          <w:sz w:val="28"/>
          <w:szCs w:val="28"/>
        </w:rPr>
        <w:t>1/</w:t>
      </w:r>
      <w:r w:rsidRPr="00F944D1">
        <w:rPr>
          <w:rFonts w:ascii="仿宋" w:eastAsia="仿宋" w:hAnsi="仿宋" w:cs="Times New Roman" w:hint="eastAsia"/>
          <w:sz w:val="28"/>
          <w:szCs w:val="28"/>
        </w:rPr>
        <w:t>5、</w:t>
      </w:r>
      <w:r w:rsidRPr="00F944D1">
        <w:rPr>
          <w:rFonts w:ascii="仿宋" w:eastAsia="仿宋" w:hAnsi="仿宋" w:cs="Times New Roman"/>
          <w:sz w:val="28"/>
          <w:szCs w:val="28"/>
        </w:rPr>
        <w:t>1/</w:t>
      </w:r>
      <w:r w:rsidRPr="00F944D1">
        <w:rPr>
          <w:rFonts w:ascii="仿宋" w:eastAsia="仿宋" w:hAnsi="仿宋" w:cs="Times New Roman" w:hint="eastAsia"/>
          <w:sz w:val="28"/>
          <w:szCs w:val="28"/>
        </w:rPr>
        <w:t>6第6—8名可加</w:t>
      </w:r>
      <w:r w:rsidRPr="00F944D1">
        <w:rPr>
          <w:rFonts w:ascii="仿宋" w:eastAsia="仿宋" w:hAnsi="仿宋" w:cs="Times New Roman"/>
          <w:sz w:val="28"/>
          <w:szCs w:val="28"/>
        </w:rPr>
        <w:t>1/</w:t>
      </w:r>
      <w:r w:rsidRPr="00F944D1">
        <w:rPr>
          <w:rFonts w:ascii="仿宋" w:eastAsia="仿宋" w:hAnsi="仿宋" w:cs="Times New Roman" w:hint="eastAsia"/>
          <w:sz w:val="28"/>
          <w:szCs w:val="28"/>
        </w:rPr>
        <w:t>7分；</w:t>
      </w:r>
      <w:r w:rsidRPr="00F944D1">
        <w:rPr>
          <w:rFonts w:ascii="仿宋" w:eastAsia="仿宋" w:hAnsi="仿宋" w:cs="Times New Roman" w:hint="eastAsia"/>
          <w:sz w:val="28"/>
          <w:szCs w:val="28"/>
        </w:rPr>
        <w:br/>
        <w:t xml:space="preserve">    6、中途退出该项目的成员不予加分。</w:t>
      </w:r>
    </w:p>
    <w:p w:rsidR="00061DA9" w:rsidRPr="00F944D1" w:rsidRDefault="00A264BC" w:rsidP="00441290">
      <w:pPr>
        <w:adjustRightInd w:val="0"/>
        <w:snapToGrid w:val="0"/>
        <w:spacing w:line="480" w:lineRule="exact"/>
        <w:rPr>
          <w:rFonts w:ascii="仿宋" w:eastAsia="仿宋" w:hAnsi="仿宋" w:cs="Times New Roman"/>
          <w:b/>
          <w:sz w:val="28"/>
          <w:szCs w:val="28"/>
        </w:rPr>
      </w:pPr>
      <w:r w:rsidRPr="00F944D1">
        <w:rPr>
          <w:rFonts w:ascii="仿宋" w:eastAsia="仿宋" w:hAnsi="仿宋" w:cs="Times New Roman" w:hint="eastAsia"/>
          <w:b/>
          <w:sz w:val="28"/>
          <w:szCs w:val="28"/>
        </w:rPr>
        <w:t>六、说明</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1、本细则内各种统计均指在研究生在读期间的成绩或成果；</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2、本细则内的各种评分需提供有导师签字（除检索证明）的相关证明材料（包括论文首页原件、检索证明、相应成果证明及其他相关材料），否则视为无效；</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3、学术表现条件均等情况下，即以上各项加分累积后评优总分一致时，担任学院主要学生干部，做出突出贡献者优先考虑。</w:t>
      </w:r>
    </w:p>
    <w:p w:rsidR="00061DA9" w:rsidRPr="00F944D1" w:rsidRDefault="00A264BC" w:rsidP="00441290">
      <w:pPr>
        <w:adjustRightInd w:val="0"/>
        <w:snapToGrid w:val="0"/>
        <w:spacing w:line="480" w:lineRule="exact"/>
        <w:ind w:firstLineChars="221" w:firstLine="619"/>
        <w:rPr>
          <w:rFonts w:ascii="仿宋" w:eastAsia="仿宋" w:hAnsi="仿宋" w:cs="Times New Roman"/>
          <w:sz w:val="28"/>
          <w:szCs w:val="28"/>
        </w:rPr>
      </w:pPr>
      <w:r w:rsidRPr="00F944D1">
        <w:rPr>
          <w:rFonts w:ascii="仿宋" w:eastAsia="仿宋" w:hAnsi="仿宋" w:cs="Times New Roman" w:hint="eastAsia"/>
          <w:sz w:val="28"/>
          <w:szCs w:val="28"/>
        </w:rPr>
        <w:t>4、对评审结果有异议的申请人，在学院公示阶段，可向学院研究生国家奖学金评审工作小组提出申诉，如申诉人对学院作出的答复仍存在异议，可在学校公示阶段向党委研究生工作部提请裁决。</w:t>
      </w:r>
    </w:p>
    <w:p w:rsidR="00061DA9" w:rsidRPr="00F944D1" w:rsidRDefault="00A264BC" w:rsidP="00441290">
      <w:pPr>
        <w:adjustRightInd w:val="0"/>
        <w:snapToGrid w:val="0"/>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5、本细则最终解释权归生物科学与工程学院研究生国家奖学金评审工作小组所有；</w:t>
      </w:r>
    </w:p>
    <w:p w:rsidR="00061DA9" w:rsidRPr="00F944D1" w:rsidRDefault="00A264BC" w:rsidP="00441290">
      <w:pPr>
        <w:spacing w:line="480" w:lineRule="exact"/>
        <w:ind w:firstLineChars="200" w:firstLine="560"/>
        <w:rPr>
          <w:rFonts w:ascii="仿宋" w:eastAsia="仿宋" w:hAnsi="仿宋" w:cs="Times New Roman"/>
          <w:sz w:val="28"/>
          <w:szCs w:val="28"/>
        </w:rPr>
      </w:pPr>
      <w:r w:rsidRPr="00F944D1">
        <w:rPr>
          <w:rFonts w:ascii="仿宋" w:eastAsia="仿宋" w:hAnsi="仿宋" w:cs="Times New Roman" w:hint="eastAsia"/>
          <w:sz w:val="28"/>
          <w:szCs w:val="28"/>
        </w:rPr>
        <w:t>6、本细则中与当年学校文件不一致之处，以学校当年下发文件为准。</w:t>
      </w:r>
    </w:p>
    <w:p w:rsidR="00061DA9" w:rsidRDefault="00061DA9" w:rsidP="00441290">
      <w:pPr>
        <w:spacing w:line="480" w:lineRule="exact"/>
        <w:ind w:firstLineChars="200" w:firstLine="560"/>
        <w:rPr>
          <w:rFonts w:ascii="仿宋" w:eastAsia="仿宋" w:hAnsi="仿宋" w:cs="Times New Roman"/>
          <w:sz w:val="28"/>
          <w:szCs w:val="28"/>
        </w:rPr>
      </w:pPr>
    </w:p>
    <w:p w:rsidR="00441290" w:rsidRPr="00F944D1" w:rsidRDefault="00441290" w:rsidP="00441290">
      <w:pPr>
        <w:spacing w:line="480" w:lineRule="exact"/>
        <w:ind w:firstLineChars="200" w:firstLine="560"/>
        <w:rPr>
          <w:rFonts w:ascii="仿宋" w:eastAsia="仿宋" w:hAnsi="仿宋" w:cs="Times New Roman"/>
          <w:sz w:val="28"/>
          <w:szCs w:val="28"/>
        </w:rPr>
      </w:pPr>
    </w:p>
    <w:p w:rsidR="00061DA9" w:rsidRPr="00F944D1" w:rsidRDefault="00A264BC" w:rsidP="00441290">
      <w:pPr>
        <w:adjustRightInd w:val="0"/>
        <w:snapToGrid w:val="0"/>
        <w:spacing w:line="480" w:lineRule="exact"/>
        <w:ind w:right="700" w:firstLineChars="1800" w:firstLine="5040"/>
        <w:rPr>
          <w:rFonts w:ascii="仿宋" w:eastAsia="仿宋" w:hAnsi="仿宋" w:cs="Times New Roman"/>
          <w:sz w:val="28"/>
          <w:szCs w:val="28"/>
        </w:rPr>
      </w:pPr>
      <w:r w:rsidRPr="00F944D1">
        <w:rPr>
          <w:rFonts w:ascii="仿宋" w:eastAsia="仿宋" w:hAnsi="仿宋" w:cs="Times New Roman" w:hint="eastAsia"/>
          <w:sz w:val="28"/>
          <w:szCs w:val="28"/>
        </w:rPr>
        <w:t>生物科学与工程学院</w:t>
      </w:r>
    </w:p>
    <w:p w:rsidR="00061DA9" w:rsidRPr="00F944D1" w:rsidRDefault="00A264BC" w:rsidP="00441290">
      <w:pPr>
        <w:adjustRightInd w:val="0"/>
        <w:snapToGrid w:val="0"/>
        <w:spacing w:line="480" w:lineRule="exact"/>
        <w:jc w:val="center"/>
        <w:rPr>
          <w:rFonts w:ascii="仿宋" w:eastAsia="仿宋" w:hAnsi="仿宋" w:cs="Times New Roman"/>
          <w:sz w:val="28"/>
          <w:szCs w:val="28"/>
        </w:rPr>
      </w:pPr>
      <w:r w:rsidRPr="00F944D1">
        <w:rPr>
          <w:rFonts w:ascii="仿宋" w:eastAsia="仿宋" w:hAnsi="仿宋" w:cs="Times New Roman" w:hint="eastAsia"/>
          <w:sz w:val="28"/>
          <w:szCs w:val="28"/>
        </w:rPr>
        <w:t xml:space="preserve">                                二O一五年三月三十日</w:t>
      </w:r>
    </w:p>
    <w:sectPr w:rsidR="00061DA9" w:rsidRPr="00F944D1" w:rsidSect="00061D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7E2" w:rsidRDefault="003017E2" w:rsidP="00102DB1">
      <w:r>
        <w:separator/>
      </w:r>
    </w:p>
  </w:endnote>
  <w:endnote w:type="continuationSeparator" w:id="0">
    <w:p w:rsidR="003017E2" w:rsidRDefault="003017E2" w:rsidP="00102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7E2" w:rsidRDefault="003017E2" w:rsidP="00102DB1">
      <w:r>
        <w:separator/>
      </w:r>
    </w:p>
  </w:footnote>
  <w:footnote w:type="continuationSeparator" w:id="0">
    <w:p w:rsidR="003017E2" w:rsidRDefault="003017E2" w:rsidP="00102D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FB2651"/>
    <w:multiLevelType w:val="multilevel"/>
    <w:tmpl w:val="2AFB2651"/>
    <w:lvl w:ilvl="0">
      <w:start w:val="1"/>
      <w:numFmt w:val="japaneseCounting"/>
      <w:lvlText w:val="（%1）"/>
      <w:lvlJc w:val="left"/>
      <w:pPr>
        <w:ind w:left="1447" w:hanging="885"/>
      </w:pPr>
      <w:rPr>
        <w:rFonts w:hint="default"/>
        <w:lang w:val="en-US"/>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
    <w:nsid w:val="70105B9D"/>
    <w:multiLevelType w:val="multilevel"/>
    <w:tmpl w:val="70105B9D"/>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18C3"/>
    <w:rsid w:val="00000D53"/>
    <w:rsid w:val="000045C0"/>
    <w:rsid w:val="00011283"/>
    <w:rsid w:val="00013446"/>
    <w:rsid w:val="00020556"/>
    <w:rsid w:val="00024A78"/>
    <w:rsid w:val="00027319"/>
    <w:rsid w:val="0003725C"/>
    <w:rsid w:val="0004228D"/>
    <w:rsid w:val="00047D91"/>
    <w:rsid w:val="00061DA9"/>
    <w:rsid w:val="00063087"/>
    <w:rsid w:val="00063724"/>
    <w:rsid w:val="000755C6"/>
    <w:rsid w:val="00076CC0"/>
    <w:rsid w:val="00095103"/>
    <w:rsid w:val="000962E6"/>
    <w:rsid w:val="000A2A69"/>
    <w:rsid w:val="000A3D06"/>
    <w:rsid w:val="000A73EE"/>
    <w:rsid w:val="000B154D"/>
    <w:rsid w:val="000B4BA2"/>
    <w:rsid w:val="000C7A28"/>
    <w:rsid w:val="000D0798"/>
    <w:rsid w:val="000E3207"/>
    <w:rsid w:val="000F0D11"/>
    <w:rsid w:val="000F79AE"/>
    <w:rsid w:val="00102DB1"/>
    <w:rsid w:val="00103E3C"/>
    <w:rsid w:val="001052D1"/>
    <w:rsid w:val="001055B2"/>
    <w:rsid w:val="00111FCD"/>
    <w:rsid w:val="00112139"/>
    <w:rsid w:val="001125C3"/>
    <w:rsid w:val="00114E2C"/>
    <w:rsid w:val="00120AB6"/>
    <w:rsid w:val="00131DA9"/>
    <w:rsid w:val="00132DA2"/>
    <w:rsid w:val="001453A7"/>
    <w:rsid w:val="001460D8"/>
    <w:rsid w:val="00152DE0"/>
    <w:rsid w:val="001530A4"/>
    <w:rsid w:val="00172EB3"/>
    <w:rsid w:val="00174AD3"/>
    <w:rsid w:val="0018459E"/>
    <w:rsid w:val="00187AC1"/>
    <w:rsid w:val="00190892"/>
    <w:rsid w:val="00195E01"/>
    <w:rsid w:val="00196736"/>
    <w:rsid w:val="001968C2"/>
    <w:rsid w:val="00197A57"/>
    <w:rsid w:val="001A0AD7"/>
    <w:rsid w:val="001A5736"/>
    <w:rsid w:val="001A7C76"/>
    <w:rsid w:val="001C05FF"/>
    <w:rsid w:val="001D2FDE"/>
    <w:rsid w:val="002032B9"/>
    <w:rsid w:val="00207A40"/>
    <w:rsid w:val="002117DE"/>
    <w:rsid w:val="00211F47"/>
    <w:rsid w:val="00214F6E"/>
    <w:rsid w:val="002308BE"/>
    <w:rsid w:val="00235B98"/>
    <w:rsid w:val="00236474"/>
    <w:rsid w:val="002520F4"/>
    <w:rsid w:val="002539CF"/>
    <w:rsid w:val="00260866"/>
    <w:rsid w:val="00264697"/>
    <w:rsid w:val="002672D1"/>
    <w:rsid w:val="0029338A"/>
    <w:rsid w:val="00294360"/>
    <w:rsid w:val="002A02C9"/>
    <w:rsid w:val="002B37A5"/>
    <w:rsid w:val="002B48BC"/>
    <w:rsid w:val="002D1A4F"/>
    <w:rsid w:val="002D32DC"/>
    <w:rsid w:val="002D501E"/>
    <w:rsid w:val="002E4247"/>
    <w:rsid w:val="002E7173"/>
    <w:rsid w:val="002E7929"/>
    <w:rsid w:val="002F0D03"/>
    <w:rsid w:val="002F175E"/>
    <w:rsid w:val="002F18C3"/>
    <w:rsid w:val="002F4D27"/>
    <w:rsid w:val="003017E2"/>
    <w:rsid w:val="003032BD"/>
    <w:rsid w:val="00303C2F"/>
    <w:rsid w:val="00306EEE"/>
    <w:rsid w:val="0031191B"/>
    <w:rsid w:val="00313A85"/>
    <w:rsid w:val="00346F48"/>
    <w:rsid w:val="00354A37"/>
    <w:rsid w:val="003560F1"/>
    <w:rsid w:val="00367841"/>
    <w:rsid w:val="0037476F"/>
    <w:rsid w:val="0039511B"/>
    <w:rsid w:val="00397E68"/>
    <w:rsid w:val="003A2523"/>
    <w:rsid w:val="003A42E0"/>
    <w:rsid w:val="003A52F6"/>
    <w:rsid w:val="003A61AB"/>
    <w:rsid w:val="003A7ECD"/>
    <w:rsid w:val="003B00BE"/>
    <w:rsid w:val="003B0862"/>
    <w:rsid w:val="003B3541"/>
    <w:rsid w:val="003C14D7"/>
    <w:rsid w:val="003C1B76"/>
    <w:rsid w:val="003D040C"/>
    <w:rsid w:val="003F2816"/>
    <w:rsid w:val="003F6115"/>
    <w:rsid w:val="00403441"/>
    <w:rsid w:val="0040373E"/>
    <w:rsid w:val="0040680E"/>
    <w:rsid w:val="00412662"/>
    <w:rsid w:val="00416443"/>
    <w:rsid w:val="00417FA2"/>
    <w:rsid w:val="00422D46"/>
    <w:rsid w:val="00430DAE"/>
    <w:rsid w:val="004330DF"/>
    <w:rsid w:val="00441290"/>
    <w:rsid w:val="004415AB"/>
    <w:rsid w:val="004477A9"/>
    <w:rsid w:val="00447A61"/>
    <w:rsid w:val="004520CC"/>
    <w:rsid w:val="004547FF"/>
    <w:rsid w:val="0045635E"/>
    <w:rsid w:val="00457014"/>
    <w:rsid w:val="00465036"/>
    <w:rsid w:val="004662EB"/>
    <w:rsid w:val="00467C2A"/>
    <w:rsid w:val="00472720"/>
    <w:rsid w:val="0048294F"/>
    <w:rsid w:val="00485EE7"/>
    <w:rsid w:val="00494C81"/>
    <w:rsid w:val="004A3810"/>
    <w:rsid w:val="004A38EA"/>
    <w:rsid w:val="004A6336"/>
    <w:rsid w:val="004B7F54"/>
    <w:rsid w:val="004C73FA"/>
    <w:rsid w:val="004E4ED3"/>
    <w:rsid w:val="004E7D9B"/>
    <w:rsid w:val="004F6E20"/>
    <w:rsid w:val="00503DAA"/>
    <w:rsid w:val="00504A08"/>
    <w:rsid w:val="0051529E"/>
    <w:rsid w:val="00521860"/>
    <w:rsid w:val="00524C55"/>
    <w:rsid w:val="00561ADC"/>
    <w:rsid w:val="00575994"/>
    <w:rsid w:val="00575D85"/>
    <w:rsid w:val="00580809"/>
    <w:rsid w:val="0058657D"/>
    <w:rsid w:val="005919CC"/>
    <w:rsid w:val="00591F3C"/>
    <w:rsid w:val="00593C8B"/>
    <w:rsid w:val="005C4F50"/>
    <w:rsid w:val="005E43AA"/>
    <w:rsid w:val="005F10A9"/>
    <w:rsid w:val="005F5FFE"/>
    <w:rsid w:val="005F6E1E"/>
    <w:rsid w:val="0060170C"/>
    <w:rsid w:val="00603AC1"/>
    <w:rsid w:val="006159E9"/>
    <w:rsid w:val="00620977"/>
    <w:rsid w:val="00623ED2"/>
    <w:rsid w:val="00625285"/>
    <w:rsid w:val="006376EA"/>
    <w:rsid w:val="00640FB4"/>
    <w:rsid w:val="00647EE4"/>
    <w:rsid w:val="00651BF8"/>
    <w:rsid w:val="00667EA2"/>
    <w:rsid w:val="00670FB2"/>
    <w:rsid w:val="00673A46"/>
    <w:rsid w:val="00682720"/>
    <w:rsid w:val="0069052F"/>
    <w:rsid w:val="00690AC2"/>
    <w:rsid w:val="00692704"/>
    <w:rsid w:val="00693DEA"/>
    <w:rsid w:val="006A42DF"/>
    <w:rsid w:val="006A7F6F"/>
    <w:rsid w:val="006B0AF0"/>
    <w:rsid w:val="006B6E5A"/>
    <w:rsid w:val="006C04E2"/>
    <w:rsid w:val="006C59C7"/>
    <w:rsid w:val="006C6598"/>
    <w:rsid w:val="006C7F9D"/>
    <w:rsid w:val="006D611D"/>
    <w:rsid w:val="006E41A0"/>
    <w:rsid w:val="00706378"/>
    <w:rsid w:val="00717F0E"/>
    <w:rsid w:val="00725880"/>
    <w:rsid w:val="00746CFD"/>
    <w:rsid w:val="007727A3"/>
    <w:rsid w:val="00775B30"/>
    <w:rsid w:val="00791D68"/>
    <w:rsid w:val="00797A62"/>
    <w:rsid w:val="007A2A53"/>
    <w:rsid w:val="007A5E33"/>
    <w:rsid w:val="007A707B"/>
    <w:rsid w:val="007B4EFA"/>
    <w:rsid w:val="007C028D"/>
    <w:rsid w:val="007C0954"/>
    <w:rsid w:val="007C0B0C"/>
    <w:rsid w:val="007C58C1"/>
    <w:rsid w:val="007C5E20"/>
    <w:rsid w:val="007D2290"/>
    <w:rsid w:val="007D5CF1"/>
    <w:rsid w:val="007D62C1"/>
    <w:rsid w:val="007E32D8"/>
    <w:rsid w:val="007F5F09"/>
    <w:rsid w:val="007F7EC2"/>
    <w:rsid w:val="0080760B"/>
    <w:rsid w:val="0081318B"/>
    <w:rsid w:val="00813206"/>
    <w:rsid w:val="00813BD4"/>
    <w:rsid w:val="00817731"/>
    <w:rsid w:val="008328A1"/>
    <w:rsid w:val="008368E6"/>
    <w:rsid w:val="00836C5D"/>
    <w:rsid w:val="008504D6"/>
    <w:rsid w:val="00850DA0"/>
    <w:rsid w:val="00851043"/>
    <w:rsid w:val="00861F3A"/>
    <w:rsid w:val="00862EC7"/>
    <w:rsid w:val="00862F83"/>
    <w:rsid w:val="00865F35"/>
    <w:rsid w:val="00876EA0"/>
    <w:rsid w:val="008850AB"/>
    <w:rsid w:val="008B0147"/>
    <w:rsid w:val="008B471C"/>
    <w:rsid w:val="008C7AB0"/>
    <w:rsid w:val="008D72A5"/>
    <w:rsid w:val="008E1E8B"/>
    <w:rsid w:val="008E3C90"/>
    <w:rsid w:val="008F1017"/>
    <w:rsid w:val="008F631B"/>
    <w:rsid w:val="00910602"/>
    <w:rsid w:val="009131DA"/>
    <w:rsid w:val="009336F0"/>
    <w:rsid w:val="00934AF2"/>
    <w:rsid w:val="00943120"/>
    <w:rsid w:val="009435D7"/>
    <w:rsid w:val="009436D8"/>
    <w:rsid w:val="0094388C"/>
    <w:rsid w:val="00950002"/>
    <w:rsid w:val="0095094E"/>
    <w:rsid w:val="009630BB"/>
    <w:rsid w:val="009766E8"/>
    <w:rsid w:val="00976E87"/>
    <w:rsid w:val="00977D5E"/>
    <w:rsid w:val="009819D4"/>
    <w:rsid w:val="00986942"/>
    <w:rsid w:val="009871F2"/>
    <w:rsid w:val="00987CA5"/>
    <w:rsid w:val="009A0C7F"/>
    <w:rsid w:val="009A42A8"/>
    <w:rsid w:val="009B01F9"/>
    <w:rsid w:val="009D3D48"/>
    <w:rsid w:val="009E6F80"/>
    <w:rsid w:val="009F1514"/>
    <w:rsid w:val="009F72CE"/>
    <w:rsid w:val="00A20109"/>
    <w:rsid w:val="00A22362"/>
    <w:rsid w:val="00A24A6E"/>
    <w:rsid w:val="00A26133"/>
    <w:rsid w:val="00A264BC"/>
    <w:rsid w:val="00A349DD"/>
    <w:rsid w:val="00A422FD"/>
    <w:rsid w:val="00A475A5"/>
    <w:rsid w:val="00A477A5"/>
    <w:rsid w:val="00A55362"/>
    <w:rsid w:val="00A6002E"/>
    <w:rsid w:val="00A6684E"/>
    <w:rsid w:val="00A66EFC"/>
    <w:rsid w:val="00A71AE2"/>
    <w:rsid w:val="00A81551"/>
    <w:rsid w:val="00A81BDD"/>
    <w:rsid w:val="00A85899"/>
    <w:rsid w:val="00AA4B59"/>
    <w:rsid w:val="00AB52D5"/>
    <w:rsid w:val="00AC03B8"/>
    <w:rsid w:val="00AC7611"/>
    <w:rsid w:val="00AD7513"/>
    <w:rsid w:val="00AE21A1"/>
    <w:rsid w:val="00AE3F4A"/>
    <w:rsid w:val="00AE6FE3"/>
    <w:rsid w:val="00AF4102"/>
    <w:rsid w:val="00AF5671"/>
    <w:rsid w:val="00B10E33"/>
    <w:rsid w:val="00B157F8"/>
    <w:rsid w:val="00B15D76"/>
    <w:rsid w:val="00B22AD2"/>
    <w:rsid w:val="00B31BEE"/>
    <w:rsid w:val="00B33E83"/>
    <w:rsid w:val="00B46275"/>
    <w:rsid w:val="00B5294F"/>
    <w:rsid w:val="00B54B1D"/>
    <w:rsid w:val="00B72414"/>
    <w:rsid w:val="00B81D64"/>
    <w:rsid w:val="00B826C7"/>
    <w:rsid w:val="00B850C4"/>
    <w:rsid w:val="00B87EC4"/>
    <w:rsid w:val="00B91F1E"/>
    <w:rsid w:val="00BD550D"/>
    <w:rsid w:val="00BE56BB"/>
    <w:rsid w:val="00BE71A7"/>
    <w:rsid w:val="00BF404C"/>
    <w:rsid w:val="00C0147D"/>
    <w:rsid w:val="00C236CB"/>
    <w:rsid w:val="00C279DD"/>
    <w:rsid w:val="00C320F4"/>
    <w:rsid w:val="00C567D9"/>
    <w:rsid w:val="00C61339"/>
    <w:rsid w:val="00C61F5E"/>
    <w:rsid w:val="00C632A0"/>
    <w:rsid w:val="00C8690A"/>
    <w:rsid w:val="00C904E6"/>
    <w:rsid w:val="00CA43E0"/>
    <w:rsid w:val="00CC1C19"/>
    <w:rsid w:val="00CC4D5B"/>
    <w:rsid w:val="00CD34D2"/>
    <w:rsid w:val="00CE02C9"/>
    <w:rsid w:val="00CE1815"/>
    <w:rsid w:val="00CE6248"/>
    <w:rsid w:val="00CF4219"/>
    <w:rsid w:val="00CF529B"/>
    <w:rsid w:val="00D21900"/>
    <w:rsid w:val="00D231B1"/>
    <w:rsid w:val="00D231EE"/>
    <w:rsid w:val="00D31C2B"/>
    <w:rsid w:val="00D37178"/>
    <w:rsid w:val="00D4515C"/>
    <w:rsid w:val="00D5437E"/>
    <w:rsid w:val="00D55610"/>
    <w:rsid w:val="00D617B1"/>
    <w:rsid w:val="00D63E73"/>
    <w:rsid w:val="00D6778D"/>
    <w:rsid w:val="00D71188"/>
    <w:rsid w:val="00D8150C"/>
    <w:rsid w:val="00D94743"/>
    <w:rsid w:val="00D966D1"/>
    <w:rsid w:val="00DA3CED"/>
    <w:rsid w:val="00DA765A"/>
    <w:rsid w:val="00DB2C26"/>
    <w:rsid w:val="00DC04BE"/>
    <w:rsid w:val="00DD2B81"/>
    <w:rsid w:val="00DD7C0C"/>
    <w:rsid w:val="00DF6397"/>
    <w:rsid w:val="00DF7C4F"/>
    <w:rsid w:val="00E05310"/>
    <w:rsid w:val="00E11721"/>
    <w:rsid w:val="00E20F96"/>
    <w:rsid w:val="00E21D8E"/>
    <w:rsid w:val="00E23D34"/>
    <w:rsid w:val="00E35AD0"/>
    <w:rsid w:val="00E37E20"/>
    <w:rsid w:val="00E45444"/>
    <w:rsid w:val="00E52C12"/>
    <w:rsid w:val="00E53D5E"/>
    <w:rsid w:val="00E56353"/>
    <w:rsid w:val="00E7194C"/>
    <w:rsid w:val="00E827DD"/>
    <w:rsid w:val="00E829A8"/>
    <w:rsid w:val="00E83A74"/>
    <w:rsid w:val="00E912ED"/>
    <w:rsid w:val="00E93A61"/>
    <w:rsid w:val="00E95D78"/>
    <w:rsid w:val="00E96862"/>
    <w:rsid w:val="00EA17D6"/>
    <w:rsid w:val="00EB2FE6"/>
    <w:rsid w:val="00EB4613"/>
    <w:rsid w:val="00EB7567"/>
    <w:rsid w:val="00EC18DB"/>
    <w:rsid w:val="00EC7434"/>
    <w:rsid w:val="00ED5639"/>
    <w:rsid w:val="00ED66D2"/>
    <w:rsid w:val="00EE2310"/>
    <w:rsid w:val="00EF0E77"/>
    <w:rsid w:val="00EF1B94"/>
    <w:rsid w:val="00F010C8"/>
    <w:rsid w:val="00F01F5C"/>
    <w:rsid w:val="00F04DA0"/>
    <w:rsid w:val="00F168A9"/>
    <w:rsid w:val="00F20B8F"/>
    <w:rsid w:val="00F24C59"/>
    <w:rsid w:val="00F310EC"/>
    <w:rsid w:val="00F3485E"/>
    <w:rsid w:val="00F3650F"/>
    <w:rsid w:val="00F54411"/>
    <w:rsid w:val="00F5751C"/>
    <w:rsid w:val="00F6683F"/>
    <w:rsid w:val="00F71D02"/>
    <w:rsid w:val="00F802D8"/>
    <w:rsid w:val="00F8629E"/>
    <w:rsid w:val="00F9186F"/>
    <w:rsid w:val="00F944D1"/>
    <w:rsid w:val="00FC49F0"/>
    <w:rsid w:val="00FC5515"/>
    <w:rsid w:val="00FD418A"/>
    <w:rsid w:val="00FD4B86"/>
    <w:rsid w:val="00FD5DD0"/>
    <w:rsid w:val="00FE1800"/>
    <w:rsid w:val="00FE25AC"/>
    <w:rsid w:val="00FE5D5C"/>
    <w:rsid w:val="00FF0008"/>
    <w:rsid w:val="00FF1BE1"/>
    <w:rsid w:val="6A6A7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8256ED-E8E8-4177-B21F-84B8E1E36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1DA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061DA9"/>
    <w:rPr>
      <w:sz w:val="18"/>
      <w:szCs w:val="18"/>
    </w:rPr>
  </w:style>
  <w:style w:type="paragraph" w:styleId="a4">
    <w:name w:val="footer"/>
    <w:basedOn w:val="a"/>
    <w:link w:val="Char0"/>
    <w:uiPriority w:val="99"/>
    <w:unhideWhenUsed/>
    <w:rsid w:val="00061DA9"/>
    <w:pPr>
      <w:tabs>
        <w:tab w:val="center" w:pos="4153"/>
        <w:tab w:val="right" w:pos="8306"/>
      </w:tabs>
      <w:snapToGrid w:val="0"/>
      <w:jc w:val="left"/>
    </w:pPr>
    <w:rPr>
      <w:sz w:val="18"/>
      <w:szCs w:val="18"/>
    </w:rPr>
  </w:style>
  <w:style w:type="paragraph" w:styleId="a5">
    <w:name w:val="header"/>
    <w:basedOn w:val="a"/>
    <w:link w:val="Char1"/>
    <w:uiPriority w:val="99"/>
    <w:unhideWhenUsed/>
    <w:rsid w:val="00061DA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061DA9"/>
    <w:rPr>
      <w:sz w:val="18"/>
      <w:szCs w:val="18"/>
    </w:rPr>
  </w:style>
  <w:style w:type="character" w:customStyle="1" w:styleId="Char0">
    <w:name w:val="页脚 Char"/>
    <w:basedOn w:val="a0"/>
    <w:link w:val="a4"/>
    <w:uiPriority w:val="99"/>
    <w:semiHidden/>
    <w:rsid w:val="00061DA9"/>
    <w:rPr>
      <w:sz w:val="18"/>
      <w:szCs w:val="18"/>
    </w:rPr>
  </w:style>
  <w:style w:type="paragraph" w:customStyle="1" w:styleId="1">
    <w:name w:val="列出段落1"/>
    <w:basedOn w:val="a"/>
    <w:uiPriority w:val="34"/>
    <w:qFormat/>
    <w:rsid w:val="00061DA9"/>
    <w:pPr>
      <w:ind w:firstLineChars="200" w:firstLine="420"/>
    </w:pPr>
  </w:style>
  <w:style w:type="character" w:customStyle="1" w:styleId="Char">
    <w:name w:val="批注框文本 Char"/>
    <w:basedOn w:val="a0"/>
    <w:link w:val="a3"/>
    <w:uiPriority w:val="99"/>
    <w:semiHidden/>
    <w:rsid w:val="00061DA9"/>
    <w:rPr>
      <w:sz w:val="18"/>
      <w:szCs w:val="18"/>
    </w:rPr>
  </w:style>
  <w:style w:type="character" w:customStyle="1" w:styleId="apple-converted-space">
    <w:name w:val="apple-converted-space"/>
    <w:basedOn w:val="a0"/>
    <w:rsid w:val="00061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779C6E-A972-4C5A-9763-2253628E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827</Words>
  <Characters>4714</Characters>
  <Application>Microsoft Office Word</Application>
  <DocSecurity>0</DocSecurity>
  <Lines>39</Lines>
  <Paragraphs>11</Paragraphs>
  <ScaleCrop>false</ScaleCrop>
  <Company>番茄花园</Company>
  <LinksUpToDate>false</LinksUpToDate>
  <CharactersWithSpaces>5530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Vivien</dc:creator>
  <cp:lastModifiedBy>Vivien</cp:lastModifiedBy>
  <cp:revision>519</cp:revision>
  <cp:lastPrinted>2013-09-26T07:10:00Z</cp:lastPrinted>
  <dcterms:created xsi:type="dcterms:W3CDTF">2013-09-25T09:48:00Z</dcterms:created>
  <dcterms:modified xsi:type="dcterms:W3CDTF">2018-10-02T03:50:00Z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