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3AFFC">
      <w:pPr>
        <w:pStyle w:val="2"/>
        <w:widowControl/>
        <w:shd w:val="clear" w:color="auto" w:fill="FFFFFF"/>
        <w:wordWrap w:val="0"/>
        <w:spacing w:beforeAutospacing="0" w:after="120" w:afterAutospacing="0" w:line="432" w:lineRule="atLeast"/>
        <w:jc w:val="center"/>
        <w:rPr>
          <w:rFonts w:ascii="宋体" w:hAnsi="宋体" w:eastAsia="宋体" w:cs="宋体"/>
          <w:color w:val="424242"/>
          <w:sz w:val="28"/>
          <w:szCs w:val="28"/>
        </w:rPr>
      </w:pPr>
      <w:bookmarkStart w:id="0" w:name="_GoBack"/>
      <w:r>
        <w:rPr>
          <w:rStyle w:val="5"/>
          <w:rFonts w:hint="eastAsia" w:ascii="宋体" w:hAnsi="宋体" w:eastAsia="宋体" w:cs="宋体"/>
          <w:color w:val="424242"/>
          <w:sz w:val="28"/>
          <w:szCs w:val="28"/>
          <w:shd w:val="clear" w:color="auto" w:fill="FFFFFF"/>
        </w:rPr>
        <w:t>202</w:t>
      </w:r>
      <w:r>
        <w:rPr>
          <w:rStyle w:val="5"/>
          <w:rFonts w:hint="eastAsia" w:ascii="宋体" w:hAnsi="宋体" w:eastAsia="宋体" w:cs="宋体"/>
          <w:color w:val="424242"/>
          <w:sz w:val="28"/>
          <w:szCs w:val="28"/>
          <w:shd w:val="clear" w:color="auto" w:fill="FFFFFF"/>
          <w:lang w:val="en-US" w:eastAsia="zh-CN"/>
        </w:rPr>
        <w:t>4</w:t>
      </w:r>
      <w:r>
        <w:rPr>
          <w:rStyle w:val="5"/>
          <w:rFonts w:hint="eastAsia" w:ascii="宋体" w:hAnsi="宋体" w:eastAsia="宋体" w:cs="宋体"/>
          <w:color w:val="424242"/>
          <w:sz w:val="28"/>
          <w:szCs w:val="28"/>
          <w:shd w:val="clear" w:color="auto" w:fill="FFFFFF"/>
        </w:rPr>
        <w:t>年粤港澳大湾区高价值专利培育布局大赛简介</w:t>
      </w:r>
    </w:p>
    <w:bookmarkEnd w:id="0"/>
    <w:p w14:paraId="73E63710">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w:t>
      </w:r>
      <w:r>
        <w:rPr>
          <w:rFonts w:hint="eastAsia" w:ascii="宋体" w:hAnsi="宋体" w:eastAsia="宋体" w:cs="宋体"/>
          <w:color w:val="424242"/>
          <w:sz w:val="28"/>
          <w:szCs w:val="28"/>
          <w:shd w:val="clear" w:color="auto" w:fill="FFFFFF"/>
          <w:lang w:eastAsia="zh-CN"/>
        </w:rPr>
        <w:t>2024</w:t>
      </w:r>
      <w:r>
        <w:rPr>
          <w:rFonts w:hint="eastAsia" w:ascii="宋体" w:hAnsi="宋体" w:eastAsia="宋体" w:cs="宋体"/>
          <w:color w:val="424242"/>
          <w:sz w:val="28"/>
          <w:szCs w:val="28"/>
          <w:shd w:val="clear" w:color="auto" w:fill="FFFFFF"/>
        </w:rPr>
        <w:t>年第五届“湾高赛”将在</w:t>
      </w:r>
      <w:r>
        <w:rPr>
          <w:rFonts w:hint="eastAsia" w:ascii="宋体" w:hAnsi="宋体" w:eastAsia="宋体" w:cs="宋体"/>
          <w:color w:val="424242"/>
          <w:sz w:val="28"/>
          <w:szCs w:val="28"/>
          <w:shd w:val="clear" w:color="auto" w:fill="FFFFFF"/>
          <w:lang w:val="en-US" w:eastAsia="zh-CN"/>
        </w:rPr>
        <w:t>江门</w:t>
      </w:r>
      <w:r>
        <w:rPr>
          <w:rFonts w:hint="eastAsia" w:ascii="宋体" w:hAnsi="宋体" w:eastAsia="宋体" w:cs="宋体"/>
          <w:color w:val="424242"/>
          <w:sz w:val="28"/>
          <w:szCs w:val="28"/>
          <w:shd w:val="clear" w:color="auto" w:fill="FFFFFF"/>
        </w:rPr>
        <w:t>市举办，主题为“强化高价值专利培育布局，赋能制造业高质量发展”。</w:t>
      </w:r>
    </w:p>
    <w:p w14:paraId="61DB4D02">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Style w:val="5"/>
          <w:rFonts w:hint="eastAsia" w:ascii="宋体" w:hAnsi="宋体" w:eastAsia="宋体" w:cs="宋体"/>
          <w:color w:val="424242"/>
          <w:sz w:val="28"/>
          <w:szCs w:val="28"/>
          <w:shd w:val="clear" w:color="auto" w:fill="FFFFFF"/>
        </w:rPr>
        <w:t>　　一、组织单位</w:t>
      </w:r>
    </w:p>
    <w:p w14:paraId="4645C3D1">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主办单位：广东省市场监督管理局（知识产权局）、香港特别行政区政府知识产权署、澳门特别行政区政府经济及科技发展局、江门市人民政府。</w:t>
      </w:r>
    </w:p>
    <w:p w14:paraId="6FD87BAA">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承办单位：江门市市场监督管理局（知识产权局）、江门市蓬江区人民政府、江门市江海区人民政府、江门市新会区人民政府、横琴国际知识产权交易中心有限公司。协办单位：广州市市场监督管理局（知识产权局）、深圳市市场监督管理局（知识产权局）、珠海市市场监督管理局（知识产权局）、佛山市市场监督管理局（知识产权局）、惠州市市场监督管理局（知识产权局）、东莞市市场监督管理局（知识产权局）、中山市市场监督管理局（知识产权局）、肇庆市市场监督管理局（知识产权局）；江门市各市直相关部门、台山市、开平市、鹤山市、恩平市人民政府。</w:t>
      </w:r>
    </w:p>
    <w:p w14:paraId="61367F71">
      <w:pPr>
        <w:pStyle w:val="2"/>
        <w:widowControl/>
        <w:shd w:val="clear" w:color="auto" w:fill="FFFFFF"/>
        <w:wordWrap w:val="0"/>
        <w:spacing w:beforeAutospacing="0" w:after="120" w:afterAutospacing="0" w:line="432" w:lineRule="atLeast"/>
        <w:ind w:firstLine="560"/>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支持单位：世界知识产权组织中国办事处、国家知识产权局专利局专利审查协作广东中心、广东省知识产权保护中心。</w:t>
      </w:r>
    </w:p>
    <w:p w14:paraId="02C3EDB1">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Style w:val="5"/>
          <w:rFonts w:hint="eastAsia" w:ascii="宋体" w:hAnsi="宋体" w:eastAsia="宋体" w:cs="宋体"/>
          <w:color w:val="424242"/>
          <w:sz w:val="28"/>
          <w:szCs w:val="28"/>
          <w:shd w:val="clear" w:color="auto" w:fill="FFFFFF"/>
        </w:rPr>
        <w:t>　　二、大赛时间安排</w:t>
      </w:r>
    </w:p>
    <w:p w14:paraId="31825866">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时间：202</w:t>
      </w:r>
      <w:r>
        <w:rPr>
          <w:rFonts w:hint="eastAsia" w:ascii="宋体" w:hAnsi="宋体" w:eastAsia="宋体" w:cs="宋体"/>
          <w:color w:val="424242"/>
          <w:sz w:val="28"/>
          <w:szCs w:val="28"/>
          <w:shd w:val="clear" w:color="auto" w:fill="FFFFFF"/>
          <w:lang w:val="en-US" w:eastAsia="zh-CN"/>
        </w:rPr>
        <w:t>4</w:t>
      </w:r>
      <w:r>
        <w:rPr>
          <w:rFonts w:hint="eastAsia" w:ascii="宋体" w:hAnsi="宋体" w:eastAsia="宋体" w:cs="宋体"/>
          <w:color w:val="424242"/>
          <w:sz w:val="28"/>
          <w:szCs w:val="28"/>
          <w:shd w:val="clear" w:color="auto" w:fill="FFFFFF"/>
        </w:rPr>
        <w:t>年8月至12月</w:t>
      </w:r>
    </w:p>
    <w:p w14:paraId="70860444">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各阶段时间安排：</w:t>
      </w:r>
    </w:p>
    <w:p w14:paraId="1043578E">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宣传推广阶段：2024年8月至9月</w:t>
      </w:r>
    </w:p>
    <w:p w14:paraId="4C103A63">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初赛阶段：2024年10月</w:t>
      </w:r>
    </w:p>
    <w:p w14:paraId="09B57204">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复赛阶段：2024年10月至11月</w:t>
      </w:r>
    </w:p>
    <w:p w14:paraId="41670396">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项目对接：2024年10月至11月</w:t>
      </w:r>
    </w:p>
    <w:p w14:paraId="7F74AFBF">
      <w:pPr>
        <w:pStyle w:val="2"/>
        <w:widowControl/>
        <w:shd w:val="clear" w:color="auto" w:fill="FFFFFF"/>
        <w:wordWrap w:val="0"/>
        <w:spacing w:beforeAutospacing="0" w:after="120" w:afterAutospacing="0" w:line="432" w:lineRule="atLeast"/>
        <w:ind w:firstLine="560"/>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决赛阶段：2024年11月至12月</w:t>
      </w:r>
    </w:p>
    <w:p w14:paraId="3A871D9C">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Style w:val="5"/>
          <w:rFonts w:hint="eastAsia" w:ascii="宋体" w:hAnsi="宋体" w:eastAsia="宋体" w:cs="宋体"/>
          <w:color w:val="424242"/>
          <w:sz w:val="28"/>
          <w:szCs w:val="28"/>
          <w:shd w:val="clear" w:color="auto" w:fill="FFFFFF"/>
        </w:rPr>
        <w:t>　　四、参赛要求</w:t>
      </w:r>
    </w:p>
    <w:p w14:paraId="6C87C0D0">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w:t>
      </w:r>
      <w:r>
        <w:rPr>
          <w:rFonts w:hint="eastAsia" w:ascii="宋体" w:hAnsi="宋体" w:eastAsia="宋体" w:cs="宋体"/>
          <w:b/>
          <w:bCs/>
          <w:color w:val="0000FF"/>
          <w:sz w:val="28"/>
          <w:szCs w:val="28"/>
          <w:shd w:val="clear" w:color="auto" w:fill="FFFFFF"/>
        </w:rPr>
        <w:t>（一）参赛项目要求</w:t>
      </w:r>
    </w:p>
    <w:p w14:paraId="280800A5">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本届“湾高赛”以技术领先、市场潜力大、落地转化前景好的战略性产业集群高价值专利为参赛对象。</w:t>
      </w:r>
    </w:p>
    <w:p w14:paraId="339AE1D1">
      <w:pPr>
        <w:pStyle w:val="2"/>
        <w:widowControl/>
        <w:shd w:val="clear" w:color="auto" w:fill="FFFFFF"/>
        <w:wordWrap w:val="0"/>
        <w:spacing w:beforeAutospacing="0" w:after="120" w:afterAutospacing="0" w:line="432" w:lineRule="atLeast"/>
        <w:ind w:firstLine="560"/>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1．本届大赛所有参赛项目分初创组、成长组分别进行比赛。</w:t>
      </w:r>
    </w:p>
    <w:p w14:paraId="165A0E55">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b/>
          <w:bCs/>
          <w:color w:val="0000FF"/>
          <w:sz w:val="28"/>
          <w:szCs w:val="28"/>
          <w:shd w:val="clear" w:color="auto" w:fill="FFFFFF"/>
        </w:rPr>
        <w:t>高校院所参赛项目列入初创组。</w:t>
      </w:r>
      <w:r>
        <w:rPr>
          <w:rFonts w:hint="eastAsia" w:ascii="宋体" w:hAnsi="宋体" w:eastAsia="宋体" w:cs="宋体"/>
          <w:color w:val="424242"/>
          <w:sz w:val="28"/>
          <w:szCs w:val="28"/>
          <w:shd w:val="clear" w:color="auto" w:fill="FFFFFF"/>
        </w:rPr>
        <w:t>参赛企业按2023年汇算清缴的营业收入进行分组，营业收入小于或等于2000万元人民币的列入初创组，营业收入大于2000万元人民币的列入成长组。</w:t>
      </w:r>
    </w:p>
    <w:p w14:paraId="42A32C25">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若参赛主体为多个企业联合参赛或高校院所与企业联合参赛，则按参赛企业的2023年汇算清缴的营业收入总和计算。</w:t>
      </w:r>
    </w:p>
    <w:p w14:paraId="08E1610F">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2．</w:t>
      </w:r>
      <w:r>
        <w:rPr>
          <w:rFonts w:hint="eastAsia" w:ascii="宋体" w:hAnsi="宋体" w:eastAsia="宋体" w:cs="宋体"/>
          <w:b/>
          <w:bCs/>
          <w:color w:val="0000FF"/>
          <w:sz w:val="28"/>
          <w:szCs w:val="28"/>
          <w:shd w:val="clear" w:color="auto" w:fill="FFFFFF"/>
        </w:rPr>
        <w:t>参赛项目应当是具有至少一项核心技术</w:t>
      </w:r>
      <w:r>
        <w:rPr>
          <w:rFonts w:hint="eastAsia" w:ascii="宋体" w:hAnsi="宋体" w:eastAsia="宋体" w:cs="宋体"/>
          <w:color w:val="424242"/>
          <w:sz w:val="28"/>
          <w:szCs w:val="28"/>
          <w:shd w:val="clear" w:color="auto" w:fill="FFFFFF"/>
        </w:rPr>
        <w:t>（含基础技术、重要技术分支）的发明专利或市场价值潜力较大的外观设计专利或重要集成电路布图设计的创新项目。所述专利（含集成电路布图设计）应由国家知识产权局、香港特别行政区政府知识产权署或澳门特别行政区政府经济及科技发展局授权，语言限中文、英文。参赛项目拥有多件专利（含集成电路布图设计）的，应明确其中一件专利为参赛核心专利（含集成电路布图设计）。</w:t>
      </w:r>
    </w:p>
    <w:p w14:paraId="49553937">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3．</w:t>
      </w:r>
      <w:r>
        <w:rPr>
          <w:rFonts w:hint="eastAsia" w:ascii="宋体" w:hAnsi="宋体" w:eastAsia="宋体" w:cs="宋体"/>
          <w:b/>
          <w:bCs/>
          <w:color w:val="0000FF"/>
          <w:sz w:val="28"/>
          <w:szCs w:val="28"/>
          <w:shd w:val="clear" w:color="auto" w:fill="FFFFFF"/>
        </w:rPr>
        <w:t>参赛项目的核心专利（含集成电路布图设计）应当是202</w:t>
      </w:r>
      <w:r>
        <w:rPr>
          <w:rFonts w:hint="eastAsia" w:ascii="宋体" w:hAnsi="宋体" w:eastAsia="宋体" w:cs="宋体"/>
          <w:b/>
          <w:bCs/>
          <w:color w:val="0000FF"/>
          <w:sz w:val="28"/>
          <w:szCs w:val="28"/>
          <w:shd w:val="clear" w:color="auto" w:fill="FFFFFF"/>
          <w:lang w:val="en-US" w:eastAsia="zh-CN"/>
        </w:rPr>
        <w:t>1</w:t>
      </w:r>
      <w:r>
        <w:rPr>
          <w:rFonts w:hint="eastAsia" w:ascii="宋体" w:hAnsi="宋体" w:eastAsia="宋体" w:cs="宋体"/>
          <w:b/>
          <w:bCs/>
          <w:color w:val="0000FF"/>
          <w:sz w:val="28"/>
          <w:szCs w:val="28"/>
          <w:shd w:val="clear" w:color="auto" w:fill="FFFFFF"/>
        </w:rPr>
        <w:t>年1月1日以后授权的发明</w:t>
      </w:r>
      <w:r>
        <w:rPr>
          <w:rFonts w:hint="eastAsia" w:ascii="宋体" w:hAnsi="宋体" w:eastAsia="宋体" w:cs="宋体"/>
          <w:color w:val="424242"/>
          <w:sz w:val="28"/>
          <w:szCs w:val="28"/>
          <w:shd w:val="clear" w:color="auto" w:fill="FFFFFF"/>
        </w:rPr>
        <w:t>、外观设计专利或登记的集成电路布图设计并有效。除参赛核心专利（含集成电路布图设计）之外，参赛主体应该将与参赛项目关系最密切且能够形成专利组合的不超过10个全球范围内的发明专利、实用新型专利、外观设计专利、集成电路布图设计一起参赛。</w:t>
      </w:r>
    </w:p>
    <w:p w14:paraId="6580D8BB">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4．</w:t>
      </w:r>
      <w:r>
        <w:rPr>
          <w:rFonts w:hint="eastAsia" w:ascii="宋体" w:hAnsi="宋体" w:eastAsia="宋体" w:cs="宋体"/>
          <w:b/>
          <w:bCs/>
          <w:color w:val="0000FF"/>
          <w:sz w:val="28"/>
          <w:szCs w:val="28"/>
          <w:shd w:val="clear" w:color="auto" w:fill="FFFFFF"/>
        </w:rPr>
        <w:t>参赛项目所属专利技术领域应以战略性产业集群为主</w:t>
      </w:r>
      <w:r>
        <w:rPr>
          <w:rFonts w:hint="eastAsia" w:ascii="宋体" w:hAnsi="宋体" w:eastAsia="宋体" w:cs="宋体"/>
          <w:color w:val="424242"/>
          <w:sz w:val="28"/>
          <w:szCs w:val="28"/>
          <w:shd w:val="clear" w:color="auto" w:fill="FFFFFF"/>
        </w:rPr>
        <w:t>，包括战略性支柱产业集群（新一代电子信息、绿色石化、智能家电、汽车产业、先进材料、现代轻工纺织、软件与信息服务、超高清视频显示、生物医药与健康、现代农业与食品）和战略性新兴产业集群（半导体与集成电路、高端装备制造、智能机器人、区块链与量子信息、前沿新材料、新能源、激光与增材制造、数字创意、安全应急与环保、精密仪器设备）。</w:t>
      </w:r>
    </w:p>
    <w:p w14:paraId="1B077167">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5．</w:t>
      </w:r>
      <w:r>
        <w:rPr>
          <w:rFonts w:hint="eastAsia" w:ascii="宋体" w:hAnsi="宋体" w:eastAsia="宋体" w:cs="宋体"/>
          <w:b/>
          <w:bCs/>
          <w:color w:val="0000FF"/>
          <w:sz w:val="28"/>
          <w:szCs w:val="28"/>
          <w:shd w:val="clear" w:color="auto" w:fill="FFFFFF"/>
        </w:rPr>
        <w:t>已获得过国家级、省级专利奖的项目，不得报名参加比赛。</w:t>
      </w:r>
    </w:p>
    <w:p w14:paraId="07962C60">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（二）参赛主体（团队）要求</w:t>
      </w:r>
    </w:p>
    <w:p w14:paraId="27311BF2">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1．</w:t>
      </w:r>
      <w:r>
        <w:rPr>
          <w:rFonts w:hint="eastAsia" w:ascii="宋体" w:hAnsi="宋体" w:eastAsia="宋体" w:cs="宋体"/>
          <w:b/>
          <w:bCs/>
          <w:color w:val="0000FF"/>
          <w:sz w:val="28"/>
          <w:szCs w:val="28"/>
          <w:shd w:val="clear" w:color="auto" w:fill="FFFFFF"/>
        </w:rPr>
        <w:t>参赛项目必须由项目参赛核心专利（含集成电路布图设计）的权利人（之一）报名参加</w:t>
      </w:r>
      <w:r>
        <w:rPr>
          <w:rFonts w:hint="eastAsia" w:ascii="宋体" w:hAnsi="宋体" w:eastAsia="宋体" w:cs="宋体"/>
          <w:color w:val="424242"/>
          <w:sz w:val="28"/>
          <w:szCs w:val="28"/>
          <w:shd w:val="clear" w:color="auto" w:fill="FFFFFF"/>
        </w:rPr>
        <w:t>。如果参赛主体为参赛核心专利（含集成电路布图设计）的多个权利人之一的，参赛事项应获得其他权利人的书面同意。参赛主体可以与知识产权服务机构等联合组队参赛。</w:t>
      </w:r>
    </w:p>
    <w:p w14:paraId="2209C7D1">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2．参赛团队成员可包括参赛主体在册员工和服务机构在册员工。一经报名，参赛团队中的服务机构成员不可变更，参赛主体成员若发生变更，应报大赛执委会并在“湾高赛”官网公示后更换。大赛中上场答辩的人员，必须是已报名的参赛团队成员。</w:t>
      </w:r>
    </w:p>
    <w:p w14:paraId="6C43598A">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3．香港、澳门以外的境外科创项目参赛，参赛主体不可独立参赛，应与境内创新主体或知识产权服务机构联合参赛。</w:t>
      </w:r>
    </w:p>
    <w:p w14:paraId="6ECF014F">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4．</w:t>
      </w:r>
      <w:r>
        <w:rPr>
          <w:rFonts w:hint="eastAsia" w:ascii="宋体" w:hAnsi="宋体" w:eastAsia="宋体" w:cs="宋体"/>
          <w:b/>
          <w:bCs/>
          <w:color w:val="0000FF"/>
          <w:sz w:val="28"/>
          <w:szCs w:val="28"/>
          <w:shd w:val="clear" w:color="auto" w:fill="FFFFFF"/>
        </w:rPr>
        <w:t>知识产权服务机构</w:t>
      </w:r>
      <w:r>
        <w:rPr>
          <w:rFonts w:hint="eastAsia" w:ascii="宋体" w:hAnsi="宋体" w:eastAsia="宋体" w:cs="宋体"/>
          <w:color w:val="424242"/>
          <w:sz w:val="28"/>
          <w:szCs w:val="28"/>
          <w:shd w:val="clear" w:color="auto" w:fill="FFFFFF"/>
        </w:rPr>
        <w:t>不可独立作为参赛主体参赛，</w:t>
      </w:r>
      <w:r>
        <w:rPr>
          <w:rFonts w:hint="eastAsia" w:ascii="宋体" w:hAnsi="宋体" w:eastAsia="宋体" w:cs="宋体"/>
          <w:b/>
          <w:bCs/>
          <w:color w:val="0000FF"/>
          <w:sz w:val="28"/>
          <w:szCs w:val="28"/>
          <w:shd w:val="clear" w:color="auto" w:fill="FFFFFF"/>
        </w:rPr>
        <w:t>可与有效参赛主体联合参赛。</w:t>
      </w:r>
      <w:r>
        <w:rPr>
          <w:rFonts w:hint="eastAsia" w:ascii="宋体" w:hAnsi="宋体" w:eastAsia="宋体" w:cs="宋体"/>
          <w:color w:val="424242"/>
          <w:sz w:val="28"/>
          <w:szCs w:val="28"/>
          <w:shd w:val="clear" w:color="auto" w:fill="FFFFFF"/>
        </w:rPr>
        <w:t>联合参赛的服务机构应为依法成立的专利代理、检索、分析、咨询、评估、运营、维权等各类知识产权服务机构（含分支办事机构），且无不良经营记录。</w:t>
      </w:r>
    </w:p>
    <w:p w14:paraId="16722F69">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5．知识产权服务机构联合参赛实行回避制度，同一个服务机构不能派员同时参加比赛和评委工作。</w:t>
      </w:r>
    </w:p>
    <w:p w14:paraId="35917E6D">
      <w:pPr>
        <w:pStyle w:val="2"/>
        <w:widowControl/>
        <w:shd w:val="clear" w:color="auto" w:fill="FFFFFF"/>
        <w:wordWrap w:val="0"/>
        <w:spacing w:beforeAutospacing="0" w:after="120" w:afterAutospacing="0" w:line="432" w:lineRule="atLeast"/>
        <w:jc w:val="both"/>
        <w:rPr>
          <w:rFonts w:ascii="宋体" w:hAnsi="宋体" w:eastAsia="宋体" w:cs="宋体"/>
          <w:b/>
          <w:bCs/>
          <w:color w:val="0000FF"/>
          <w:sz w:val="28"/>
          <w:szCs w:val="28"/>
          <w:shd w:val="clear" w:color="auto" w:fill="FFFFFF"/>
        </w:rPr>
      </w:pPr>
      <w:r>
        <w:rPr>
          <w:rFonts w:hint="eastAsia" w:ascii="宋体" w:hAnsi="宋体" w:eastAsia="宋体" w:cs="宋体"/>
          <w:color w:val="424242"/>
          <w:sz w:val="28"/>
          <w:szCs w:val="28"/>
          <w:shd w:val="clear" w:color="auto" w:fill="FFFFFF"/>
        </w:rPr>
        <w:t>　　6．同一企业报名参赛项目不得超过3个，</w:t>
      </w:r>
      <w:r>
        <w:rPr>
          <w:rFonts w:hint="eastAsia" w:ascii="宋体" w:hAnsi="宋体" w:eastAsia="宋体" w:cs="宋体"/>
          <w:b/>
          <w:bCs/>
          <w:color w:val="0000FF"/>
          <w:sz w:val="28"/>
          <w:szCs w:val="28"/>
          <w:shd w:val="clear" w:color="auto" w:fill="FFFFFF"/>
        </w:rPr>
        <w:t>高校或科研院所不受报名数量限制。</w:t>
      </w:r>
    </w:p>
    <w:p w14:paraId="29ABE6AD">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7．出现明显非正常专利申请现象的参赛主体，取消其获奖资格。</w:t>
      </w:r>
    </w:p>
    <w:p w14:paraId="42BD54D6">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Style w:val="5"/>
          <w:rFonts w:hint="eastAsia" w:ascii="宋体" w:hAnsi="宋体" w:eastAsia="宋体" w:cs="宋体"/>
          <w:color w:val="424242"/>
          <w:sz w:val="28"/>
          <w:szCs w:val="28"/>
          <w:shd w:val="clear" w:color="auto" w:fill="FFFFFF"/>
        </w:rPr>
        <w:t>　　五、奖项设置</w:t>
      </w:r>
    </w:p>
    <w:p w14:paraId="746C7559">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（一）本届“湾高赛”设金奖、银奖、优秀奖，共50项，奖金总额395万元。具体奖项设置如下：</w:t>
      </w:r>
    </w:p>
    <w:p w14:paraId="7FDECED7">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金奖10项，奖金20万元/项，金奖奖金合计200万元。</w:t>
      </w:r>
    </w:p>
    <w:p w14:paraId="21B20385">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银奖15项，奖金8万元/项，银奖奖金合计120万元。</w:t>
      </w:r>
    </w:p>
    <w:p w14:paraId="453DD112">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优秀奖25项，奖金3万元/项，优秀奖奖金合计75万元。</w:t>
      </w:r>
    </w:p>
    <w:p w14:paraId="6F8A6B84">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（二）同一参赛主体，即高校、科研院所、企业（包含其全资及控股子公司）不可重复获得金奖，且获奖总数不得超过3项。奖项将根据成绩排名去重录取。</w:t>
      </w:r>
    </w:p>
    <w:p w14:paraId="2C4B87D6">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（三）“湾高赛”双百强、百强获奖项目将获得该奖项牌匾或获奖证书。</w:t>
      </w:r>
    </w:p>
    <w:p w14:paraId="68A6F156">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（四）为激励省内各市局对湾高赛的支持，设立最佳组织奖。</w:t>
      </w:r>
    </w:p>
    <w:p w14:paraId="67854CDA">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Style w:val="5"/>
          <w:rFonts w:hint="eastAsia" w:ascii="宋体" w:hAnsi="宋体" w:eastAsia="宋体" w:cs="宋体"/>
          <w:color w:val="424242"/>
          <w:sz w:val="28"/>
          <w:szCs w:val="28"/>
          <w:shd w:val="clear" w:color="auto" w:fill="FFFFFF"/>
        </w:rPr>
        <w:t>　　六、具体赛程</w:t>
      </w:r>
    </w:p>
    <w:p w14:paraId="7FE23483">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大赛包括以下具体五个阶段：</w:t>
      </w:r>
    </w:p>
    <w:p w14:paraId="24058652">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（一）启动和推广（202</w:t>
      </w:r>
      <w:r>
        <w:rPr>
          <w:rFonts w:hint="eastAsia" w:ascii="宋体" w:hAnsi="宋体" w:eastAsia="宋体" w:cs="宋体"/>
          <w:color w:val="424242"/>
          <w:sz w:val="28"/>
          <w:szCs w:val="28"/>
          <w:shd w:val="clear" w:color="auto" w:fill="FFFFFF"/>
          <w:lang w:val="en-US" w:eastAsia="zh-CN"/>
        </w:rPr>
        <w:t>4</w:t>
      </w:r>
      <w:r>
        <w:rPr>
          <w:rFonts w:hint="eastAsia" w:ascii="宋体" w:hAnsi="宋体" w:eastAsia="宋体" w:cs="宋体"/>
          <w:color w:val="424242"/>
          <w:sz w:val="28"/>
          <w:szCs w:val="28"/>
          <w:shd w:val="clear" w:color="auto" w:fill="FFFFFF"/>
        </w:rPr>
        <w:t>年8月—9月）</w:t>
      </w:r>
    </w:p>
    <w:p w14:paraId="02FEADAB">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202</w:t>
      </w:r>
      <w:r>
        <w:rPr>
          <w:rFonts w:hint="eastAsia" w:ascii="宋体" w:hAnsi="宋体" w:eastAsia="宋体" w:cs="宋体"/>
          <w:color w:val="424242"/>
          <w:sz w:val="28"/>
          <w:szCs w:val="28"/>
          <w:shd w:val="clear" w:color="auto" w:fill="FFFFFF"/>
          <w:lang w:val="en-US" w:eastAsia="zh-CN"/>
        </w:rPr>
        <w:t>4</w:t>
      </w:r>
      <w:r>
        <w:rPr>
          <w:rFonts w:hint="eastAsia" w:ascii="宋体" w:hAnsi="宋体" w:eastAsia="宋体" w:cs="宋体"/>
          <w:color w:val="424242"/>
          <w:sz w:val="28"/>
          <w:szCs w:val="28"/>
          <w:shd w:val="clear" w:color="auto" w:fill="FFFFFF"/>
        </w:rPr>
        <w:t>年8月，召开202</w:t>
      </w:r>
      <w:r>
        <w:rPr>
          <w:rFonts w:hint="eastAsia" w:ascii="宋体" w:hAnsi="宋体" w:eastAsia="宋体" w:cs="宋体"/>
          <w:color w:val="424242"/>
          <w:sz w:val="28"/>
          <w:szCs w:val="28"/>
          <w:shd w:val="clear" w:color="auto" w:fill="FFFFFF"/>
          <w:lang w:val="en-US" w:eastAsia="zh-CN"/>
        </w:rPr>
        <w:t>4</w:t>
      </w:r>
      <w:r>
        <w:rPr>
          <w:rFonts w:hint="eastAsia" w:ascii="宋体" w:hAnsi="宋体" w:eastAsia="宋体" w:cs="宋体"/>
          <w:color w:val="424242"/>
          <w:sz w:val="28"/>
          <w:szCs w:val="28"/>
          <w:shd w:val="clear" w:color="auto" w:fill="FFFFFF"/>
        </w:rPr>
        <w:t>年粤港澳大湾区高价值专利培育布局大赛启动大会，同时开启后台报名系统。面向全国宣传推广第五届“湾高赛”，征集优秀科技创新创业项目报名参赛。</w:t>
      </w:r>
    </w:p>
    <w:p w14:paraId="7F591D3C">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启动会后至</w:t>
      </w:r>
      <w:r>
        <w:rPr>
          <w:rFonts w:hint="eastAsia" w:ascii="宋体" w:hAnsi="宋体" w:eastAsia="宋体" w:cs="宋体"/>
          <w:color w:val="424242"/>
          <w:sz w:val="28"/>
          <w:szCs w:val="28"/>
          <w:shd w:val="clear" w:color="auto" w:fill="FFFFFF"/>
          <w:lang w:eastAsia="zh-CN"/>
        </w:rPr>
        <w:t>2024</w:t>
      </w:r>
      <w:r>
        <w:rPr>
          <w:rFonts w:hint="eastAsia" w:ascii="宋体" w:hAnsi="宋体" w:eastAsia="宋体" w:cs="宋体"/>
          <w:color w:val="424242"/>
          <w:sz w:val="28"/>
          <w:szCs w:val="28"/>
          <w:shd w:val="clear" w:color="auto" w:fill="FFFFFF"/>
        </w:rPr>
        <w:t>年9月期间将发起广东省内及港澳地区赛事巡讲和专利培育布局培训工作，帮助参赛者全面掌握第五届“湾高赛”的赛事规则及有关注意事项，提升创新主体高价值专利的培育与布局能力。</w:t>
      </w:r>
    </w:p>
    <w:p w14:paraId="18C375C5">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w:t>
      </w:r>
      <w:r>
        <w:rPr>
          <w:rFonts w:hint="eastAsia" w:ascii="宋体" w:hAnsi="宋体" w:eastAsia="宋体" w:cs="宋体"/>
          <w:color w:val="424242"/>
          <w:sz w:val="28"/>
          <w:szCs w:val="28"/>
          <w:shd w:val="clear" w:color="auto" w:fill="FFFFFF"/>
          <w:lang w:eastAsia="zh-CN"/>
        </w:rPr>
        <w:t>2024</w:t>
      </w:r>
      <w:r>
        <w:rPr>
          <w:rFonts w:hint="eastAsia" w:ascii="宋体" w:hAnsi="宋体" w:eastAsia="宋体" w:cs="宋体"/>
          <w:color w:val="424242"/>
          <w:sz w:val="28"/>
          <w:szCs w:val="28"/>
          <w:shd w:val="clear" w:color="auto" w:fill="FFFFFF"/>
        </w:rPr>
        <w:t>年粤港澳大湾区高价值专利培育布局大赛参赛报名截止日期为</w:t>
      </w:r>
      <w:r>
        <w:rPr>
          <w:rFonts w:hint="eastAsia" w:ascii="宋体" w:hAnsi="宋体" w:eastAsia="宋体" w:cs="宋体"/>
          <w:color w:val="424242"/>
          <w:sz w:val="28"/>
          <w:szCs w:val="28"/>
          <w:shd w:val="clear" w:color="auto" w:fill="FFFFFF"/>
          <w:lang w:eastAsia="zh-CN"/>
        </w:rPr>
        <w:t>2024</w:t>
      </w:r>
      <w:r>
        <w:rPr>
          <w:rFonts w:hint="eastAsia" w:ascii="宋体" w:hAnsi="宋体" w:eastAsia="宋体" w:cs="宋体"/>
          <w:color w:val="424242"/>
          <w:sz w:val="28"/>
          <w:szCs w:val="28"/>
          <w:shd w:val="clear" w:color="auto" w:fill="FFFFFF"/>
        </w:rPr>
        <w:t>年9月15日。</w:t>
      </w:r>
    </w:p>
    <w:p w14:paraId="1D89D16C">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（二）初赛和评选双百强（</w:t>
      </w:r>
      <w:r>
        <w:rPr>
          <w:rFonts w:hint="eastAsia" w:ascii="宋体" w:hAnsi="宋体" w:eastAsia="宋体" w:cs="宋体"/>
          <w:color w:val="424242"/>
          <w:sz w:val="28"/>
          <w:szCs w:val="28"/>
          <w:shd w:val="clear" w:color="auto" w:fill="FFFFFF"/>
          <w:lang w:eastAsia="zh-CN"/>
        </w:rPr>
        <w:t>2024</w:t>
      </w:r>
      <w:r>
        <w:rPr>
          <w:rFonts w:hint="eastAsia" w:ascii="宋体" w:hAnsi="宋体" w:eastAsia="宋体" w:cs="宋体"/>
          <w:color w:val="424242"/>
          <w:sz w:val="28"/>
          <w:szCs w:val="28"/>
          <w:shd w:val="clear" w:color="auto" w:fill="FFFFFF"/>
        </w:rPr>
        <w:t>年10月，</w:t>
      </w:r>
      <w:r>
        <w:rPr>
          <w:rFonts w:hint="eastAsia" w:ascii="宋体" w:hAnsi="宋体" w:eastAsia="宋体" w:cs="宋体"/>
          <w:color w:val="424242"/>
          <w:sz w:val="28"/>
          <w:szCs w:val="28"/>
          <w:shd w:val="clear" w:color="auto" w:fill="FFFFFF"/>
          <w:lang w:val="en-US" w:eastAsia="zh-CN"/>
        </w:rPr>
        <w:t>江门</w:t>
      </w:r>
      <w:r>
        <w:rPr>
          <w:rFonts w:hint="eastAsia" w:ascii="宋体" w:hAnsi="宋体" w:eastAsia="宋体" w:cs="宋体"/>
          <w:color w:val="424242"/>
          <w:sz w:val="28"/>
          <w:szCs w:val="28"/>
          <w:shd w:val="clear" w:color="auto" w:fill="FFFFFF"/>
        </w:rPr>
        <w:t>市）</w:t>
      </w:r>
    </w:p>
    <w:p w14:paraId="4B33E151">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初赛阶段分为两个环节。</w:t>
      </w:r>
    </w:p>
    <w:p w14:paraId="2057CC66">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一是初步评审（95分）。由大赛执委会组织专业评委对申报项目进行评审，评审重点考察项目主要专利产品技术先进性（艺术、布图独特性）、专利产品技术效果（艺术、布图效果）、专利产品市场规模，核心专利授权文本质量、保护范围及稳定性，项目中已布局其他相关专利的数量、类型和质量。</w:t>
      </w:r>
    </w:p>
    <w:p w14:paraId="2EEF6C85">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二是网络投票（5分）。为积极推动参赛热情，本届投票规则为投票票数为0—2500票对应0—5分，即满2500票可获得5分，由社会大众对项目进行网络投票。</w:t>
      </w:r>
    </w:p>
    <w:p w14:paraId="0A8619CF">
      <w:pPr>
        <w:pStyle w:val="2"/>
        <w:widowControl/>
        <w:shd w:val="clear" w:color="auto" w:fill="FFFFFF"/>
        <w:wordWrap w:val="0"/>
        <w:spacing w:beforeAutospacing="0" w:after="120" w:afterAutospacing="0" w:line="432" w:lineRule="atLeast"/>
        <w:ind w:firstLine="560"/>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最终根据评委打分和网络投票进行综合评分，择优选取200个优秀项目（“湾高赛”双百强）进入复赛。</w:t>
      </w:r>
    </w:p>
    <w:p w14:paraId="5598CFFF">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（三）复赛和评选百强（</w:t>
      </w:r>
      <w:r>
        <w:rPr>
          <w:rFonts w:hint="eastAsia" w:ascii="宋体" w:hAnsi="宋体" w:eastAsia="宋体" w:cs="宋体"/>
          <w:color w:val="424242"/>
          <w:sz w:val="28"/>
          <w:szCs w:val="28"/>
          <w:shd w:val="clear" w:color="auto" w:fill="FFFFFF"/>
          <w:lang w:eastAsia="zh-CN"/>
        </w:rPr>
        <w:t>2024</w:t>
      </w:r>
      <w:r>
        <w:rPr>
          <w:rFonts w:hint="eastAsia" w:ascii="宋体" w:hAnsi="宋体" w:eastAsia="宋体" w:cs="宋体"/>
          <w:color w:val="424242"/>
          <w:sz w:val="28"/>
          <w:szCs w:val="28"/>
          <w:shd w:val="clear" w:color="auto" w:fill="FFFFFF"/>
        </w:rPr>
        <w:t>年10月—11月，</w:t>
      </w:r>
      <w:r>
        <w:rPr>
          <w:rFonts w:hint="eastAsia" w:ascii="宋体" w:hAnsi="宋体" w:eastAsia="宋体" w:cs="宋体"/>
          <w:color w:val="424242"/>
          <w:sz w:val="28"/>
          <w:szCs w:val="28"/>
          <w:shd w:val="clear" w:color="auto" w:fill="FFFFFF"/>
          <w:lang w:val="en-US" w:eastAsia="zh-CN"/>
        </w:rPr>
        <w:t>江门</w:t>
      </w:r>
      <w:r>
        <w:rPr>
          <w:rFonts w:hint="eastAsia" w:ascii="宋体" w:hAnsi="宋体" w:eastAsia="宋体" w:cs="宋体"/>
          <w:color w:val="424242"/>
          <w:sz w:val="28"/>
          <w:szCs w:val="28"/>
          <w:shd w:val="clear" w:color="auto" w:fill="FFFFFF"/>
        </w:rPr>
        <w:t>市）</w:t>
      </w:r>
    </w:p>
    <w:p w14:paraId="62705382">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复赛阶段分为三个环节：</w:t>
      </w:r>
    </w:p>
    <w:p w14:paraId="0A409552">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一是项目路演。由参赛主体在现场就本项目技术（设计）方案和产品进行讲解，重点讲解项目的技术先进性、技术重要性、技术可替代性、市场规模/前景、市场竞争力、申请文件质量、专利布局等。</w:t>
      </w:r>
    </w:p>
    <w:p w14:paraId="6AAD1E43">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二是分析评议。不要求分析评议报告为服务机构出具，可由参赛主体自行撰写。分析评议报告包含但不限于行业专利竞争态势、行业技术发展趋势、项目已布局专利的撰写质量、布局情况、存在问题等，重点对项目的专利布局情况进行详细分析并发现问题，经论证专利组合无需新布局者，应论证其布局周密性。如需新布局者，应在决赛前布局，并提交新布局申请号及申请文件。参赛团队现场讲解该分析评议报告，该报告影响法律层面及布局层面评分。</w:t>
      </w:r>
    </w:p>
    <w:p w14:paraId="0E6EE861">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三是点评互动。由评委与参赛队伍进行互动交流，并由评委进行现场点评打分。</w:t>
      </w:r>
    </w:p>
    <w:p w14:paraId="4FD58444">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根据最终评委打分成绩，择优选取100个优秀项目（“湾高赛”百强）进入决赛。</w:t>
      </w:r>
    </w:p>
    <w:p w14:paraId="4D3FF2EE">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复赛现场将邀请投融资机构、产业园区等机构组成的观摩团现场观看项目路演，进一步推进优秀项目的成果转化运用。</w:t>
      </w:r>
    </w:p>
    <w:p w14:paraId="29576037">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（四）项目对接会（</w:t>
      </w:r>
      <w:r>
        <w:rPr>
          <w:rFonts w:hint="eastAsia" w:ascii="宋体" w:hAnsi="宋体" w:eastAsia="宋体" w:cs="宋体"/>
          <w:color w:val="424242"/>
          <w:sz w:val="28"/>
          <w:szCs w:val="28"/>
          <w:shd w:val="clear" w:color="auto" w:fill="FFFFFF"/>
          <w:lang w:eastAsia="zh-CN"/>
        </w:rPr>
        <w:t>2024</w:t>
      </w:r>
      <w:r>
        <w:rPr>
          <w:rFonts w:hint="eastAsia" w:ascii="宋体" w:hAnsi="宋体" w:eastAsia="宋体" w:cs="宋体"/>
          <w:color w:val="424242"/>
          <w:sz w:val="28"/>
          <w:szCs w:val="28"/>
          <w:shd w:val="clear" w:color="auto" w:fill="FFFFFF"/>
        </w:rPr>
        <w:t>年10月—11月，</w:t>
      </w:r>
      <w:r>
        <w:rPr>
          <w:rFonts w:hint="eastAsia" w:ascii="宋体" w:hAnsi="宋体" w:eastAsia="宋体" w:cs="宋体"/>
          <w:color w:val="424242"/>
          <w:sz w:val="28"/>
          <w:szCs w:val="28"/>
          <w:shd w:val="clear" w:color="auto" w:fill="FFFFFF"/>
          <w:lang w:val="en-US" w:eastAsia="zh-CN"/>
        </w:rPr>
        <w:t>江门</w:t>
      </w:r>
      <w:r>
        <w:rPr>
          <w:rFonts w:hint="eastAsia" w:ascii="宋体" w:hAnsi="宋体" w:eastAsia="宋体" w:cs="宋体"/>
          <w:color w:val="424242"/>
          <w:sz w:val="28"/>
          <w:szCs w:val="28"/>
          <w:shd w:val="clear" w:color="auto" w:fill="FFFFFF"/>
        </w:rPr>
        <w:t>市以及大湾区相关地市）</w:t>
      </w:r>
    </w:p>
    <w:p w14:paraId="20B72855">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lang w:eastAsia="zh-CN"/>
        </w:rPr>
      </w:pPr>
      <w:r>
        <w:rPr>
          <w:rFonts w:hint="eastAsia" w:ascii="宋体" w:hAnsi="宋体" w:eastAsia="宋体" w:cs="宋体"/>
          <w:color w:val="424242"/>
          <w:sz w:val="28"/>
          <w:szCs w:val="28"/>
          <w:shd w:val="clear" w:color="auto" w:fill="FFFFFF"/>
        </w:rPr>
        <w:t>大赛组织开展一系列对接活动，邀请参赛项目与相关部门、产业园区、上下游企业、投融资机构、服务机构等进行精准对接。同时设立高校科院项目专区，针对高价值专利匹配运营服务、产业化、资本等优质资源，助力高校和科研机构存量专利盘活与产业化。对于在对接活动中展现出合作意向的优质项目，将启动一对一的深度跟踪服务机制。项目对接落地转移转化和投融资意向协议签订情况，在决赛评选中占一定权重</w:t>
      </w:r>
      <w:r>
        <w:rPr>
          <w:rFonts w:hint="eastAsia" w:ascii="宋体" w:hAnsi="宋体" w:eastAsia="宋体" w:cs="宋体"/>
          <w:color w:val="424242"/>
          <w:sz w:val="28"/>
          <w:szCs w:val="28"/>
          <w:shd w:val="clear" w:color="auto" w:fill="FFFFFF"/>
          <w:lang w:eastAsia="zh-CN"/>
        </w:rPr>
        <w:t>。</w:t>
      </w:r>
    </w:p>
    <w:p w14:paraId="28A63CE3">
      <w:pPr>
        <w:pStyle w:val="2"/>
        <w:widowControl/>
        <w:shd w:val="clear" w:color="auto" w:fill="FFFFFF"/>
        <w:wordWrap w:val="0"/>
        <w:spacing w:beforeAutospacing="0" w:after="120" w:afterAutospacing="0" w:line="432" w:lineRule="atLeast"/>
        <w:ind w:firstLine="560"/>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（五）决赛评选金奖、银奖、优秀奖项目（</w:t>
      </w:r>
      <w:r>
        <w:rPr>
          <w:rFonts w:hint="eastAsia" w:ascii="宋体" w:hAnsi="宋体" w:eastAsia="宋体" w:cs="宋体"/>
          <w:color w:val="424242"/>
          <w:sz w:val="28"/>
          <w:szCs w:val="28"/>
          <w:shd w:val="clear" w:color="auto" w:fill="FFFFFF"/>
          <w:lang w:eastAsia="zh-CN"/>
        </w:rPr>
        <w:t>2024</w:t>
      </w:r>
      <w:r>
        <w:rPr>
          <w:rFonts w:hint="eastAsia" w:ascii="宋体" w:hAnsi="宋体" w:eastAsia="宋体" w:cs="宋体"/>
          <w:color w:val="424242"/>
          <w:sz w:val="28"/>
          <w:szCs w:val="28"/>
          <w:shd w:val="clear" w:color="auto" w:fill="FFFFFF"/>
        </w:rPr>
        <w:t>年11月—12月，</w:t>
      </w:r>
      <w:r>
        <w:rPr>
          <w:rFonts w:hint="eastAsia" w:ascii="宋体" w:hAnsi="宋体" w:eastAsia="宋体" w:cs="宋体"/>
          <w:color w:val="424242"/>
          <w:sz w:val="28"/>
          <w:szCs w:val="28"/>
          <w:shd w:val="clear" w:color="auto" w:fill="FFFFFF"/>
          <w:lang w:val="en-US" w:eastAsia="zh-CN"/>
        </w:rPr>
        <w:t>江门</w:t>
      </w:r>
      <w:r>
        <w:rPr>
          <w:rFonts w:hint="eastAsia" w:ascii="宋体" w:hAnsi="宋体" w:eastAsia="宋体" w:cs="宋体"/>
          <w:color w:val="424242"/>
          <w:sz w:val="28"/>
          <w:szCs w:val="28"/>
          <w:shd w:val="clear" w:color="auto" w:fill="FFFFFF"/>
        </w:rPr>
        <w:t>市）</w:t>
      </w:r>
    </w:p>
    <w:p w14:paraId="0C7AA4FD">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决赛采取项目现场路演、答辩环节、评委打分三个环节，其中：</w:t>
      </w:r>
    </w:p>
    <w:p w14:paraId="58182D30">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一是项目路演。重点包括：通过现场展示和讲解的方式，对项目的技术先进性、商业规模及执行团队和配套资源支持进行阐述，并针对企业发展战略重点论述在大赛期间进行的高价值专利培育和布局的思路、方法，布局的专利数量、类型和质量，项目海外布局申请、产品关联度、标准相关性、针对竞争对手情况，以及培育流程规范和培育创新方法，并根据需要提交新布局专利申请号及申请文件。</w:t>
      </w:r>
    </w:p>
    <w:p w14:paraId="328A7BE1">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二是答辩环节。由评审专家对路演项目中的技术、市场、战略、专利培育与布局等内容进行提问，路演项目的参赛主体进行答辩。</w:t>
      </w:r>
    </w:p>
    <w:p w14:paraId="05BF40BB">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三是评委打分环节。由评委对项目进行点评、提出指导建议并进行打分。</w:t>
      </w:r>
    </w:p>
    <w:p w14:paraId="1522FF2F">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根据项目最终得分，择优评选出金奖、银奖和优秀奖共50项。</w:t>
      </w:r>
    </w:p>
    <w:p w14:paraId="7AA458DB">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Style w:val="5"/>
          <w:rFonts w:hint="eastAsia" w:ascii="宋体" w:hAnsi="宋体" w:eastAsia="宋体" w:cs="宋体"/>
          <w:color w:val="424242"/>
          <w:sz w:val="28"/>
          <w:szCs w:val="28"/>
          <w:shd w:val="clear" w:color="auto" w:fill="FFFFFF"/>
        </w:rPr>
        <w:t>　　七、专家评委</w:t>
      </w:r>
    </w:p>
    <w:p w14:paraId="0DF1BEE6">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大赛将邀请政府管理部门、投资机构、评估机构、运营机构、企业家和相关知识产权领域专家广泛参与，同时根据《湾高赛评审专家遴选办法》选定各赛程不同环节的评审专家。</w:t>
      </w:r>
    </w:p>
    <w:p w14:paraId="0E35426B">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初赛环节（评选双百强），专家评委包括技术专家（按产业划分）、专利代理师、企事业单位知识产权管理专家、专利分析和信息利用专家、知识产权评估运营专家等。</w:t>
      </w:r>
    </w:p>
    <w:p w14:paraId="2C41B393">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复赛环节（评选百强），专家评委包括技术专家（按产业划分）、专利代理师、企事业单位知识产权管理专家、专利分析和信息利用专家、知识产权运营专家、投融资机构专家等。</w:t>
      </w:r>
    </w:p>
    <w:p w14:paraId="6F92EAC9">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决赛环节（评选金奖、银奖、优秀奖），专家评委包括技术专家（按产业划分）、投融资专家、资深评估师、企业家、知识产权运营专家、专利代理师、专利分析和信息利用专家等，同时组织知识产权评估专业机构对进入的决赛项目进行专利组合资产评估。</w:t>
      </w:r>
    </w:p>
    <w:p w14:paraId="073EBBD7">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Style w:val="5"/>
          <w:rFonts w:hint="eastAsia" w:ascii="宋体" w:hAnsi="宋体" w:eastAsia="宋体" w:cs="宋体"/>
          <w:color w:val="424242"/>
          <w:sz w:val="28"/>
          <w:szCs w:val="28"/>
          <w:shd w:val="clear" w:color="auto" w:fill="FFFFFF"/>
        </w:rPr>
        <w:t>　　八、成果运用</w:t>
      </w:r>
    </w:p>
    <w:p w14:paraId="0195273E">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一）对于有在大湾区落地转化意向的参赛项目，可根据实际情况享受主办地江门市人民政府以及大湾区内地八市人民政府有关创新创业、成果转化、招商引资、人才引进、知识产权等落地转化实施优惠政策。鼓励支持各地市积极出台政策，吸引优秀“湾高赛”项目落地转化实施。</w:t>
      </w:r>
    </w:p>
    <w:p w14:paraId="63F28602">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对省内优秀项目，若开展知识产权质押融资、保险和证券化意愿的，由相关市市场监管局积极予以支持，提供便利化服务。</w:t>
      </w:r>
    </w:p>
    <w:p w14:paraId="2AD455BC">
      <w:pPr>
        <w:pStyle w:val="2"/>
        <w:widowControl/>
        <w:shd w:val="clear" w:color="auto" w:fill="FFFFFF"/>
        <w:wordWrap w:val="0"/>
        <w:spacing w:beforeAutospacing="0" w:after="120" w:afterAutospacing="0" w:line="432" w:lineRule="atLeast"/>
        <w:ind w:firstLine="560"/>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（二）依托广东省战略性产业集群知识产权协同运营中心、重点园区知识产权综合运营服务中心资源优势，为参赛项目知识产权运营、落地转化提供支撑服务。</w:t>
      </w:r>
    </w:p>
    <w:p w14:paraId="2EE9CB1D">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（三）主办地</w:t>
      </w:r>
      <w:r>
        <w:rPr>
          <w:rFonts w:hint="eastAsia" w:ascii="宋体" w:hAnsi="宋体" w:eastAsia="宋体" w:cs="宋体"/>
          <w:color w:val="424242"/>
          <w:sz w:val="28"/>
          <w:szCs w:val="28"/>
          <w:shd w:val="clear" w:color="auto" w:fill="FFFFFF"/>
          <w:lang w:val="en-US" w:eastAsia="zh-CN"/>
        </w:rPr>
        <w:t>江门</w:t>
      </w:r>
      <w:r>
        <w:rPr>
          <w:rFonts w:hint="eastAsia" w:ascii="宋体" w:hAnsi="宋体" w:eastAsia="宋体" w:cs="宋体"/>
          <w:color w:val="424242"/>
          <w:sz w:val="28"/>
          <w:szCs w:val="28"/>
          <w:shd w:val="clear" w:color="auto" w:fill="FFFFFF"/>
        </w:rPr>
        <w:t>市充分发挥知识产权服务机构集聚优势，利用好本地知识产权交易平台、</w:t>
      </w:r>
      <w:r>
        <w:rPr>
          <w:rFonts w:hint="eastAsia" w:ascii="宋体" w:hAnsi="宋体" w:eastAsia="宋体" w:cs="宋体"/>
          <w:color w:val="424242"/>
          <w:sz w:val="28"/>
          <w:szCs w:val="28"/>
          <w:shd w:val="clear" w:color="auto" w:fill="FFFFFF"/>
          <w:lang w:val="en-US" w:eastAsia="zh-CN"/>
        </w:rPr>
        <w:t>园区</w:t>
      </w:r>
      <w:r>
        <w:rPr>
          <w:rFonts w:hint="eastAsia" w:ascii="宋体" w:hAnsi="宋体" w:eastAsia="宋体" w:cs="宋体"/>
          <w:color w:val="424242"/>
          <w:sz w:val="28"/>
          <w:szCs w:val="28"/>
          <w:shd w:val="clear" w:color="auto" w:fill="FFFFFF"/>
        </w:rPr>
        <w:t>等为参赛项目提供专利成果运营、落地转化相关资源对接服务。</w:t>
      </w:r>
    </w:p>
    <w:p w14:paraId="5A21EBC1">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（四）</w:t>
      </w:r>
      <w:r>
        <w:rPr>
          <w:rFonts w:hint="eastAsia" w:ascii="宋体" w:hAnsi="宋体" w:eastAsia="宋体" w:cs="宋体"/>
          <w:b/>
          <w:bCs/>
          <w:color w:val="0000FF"/>
          <w:sz w:val="28"/>
          <w:szCs w:val="28"/>
          <w:shd w:val="clear" w:color="auto" w:fill="FFFFFF"/>
        </w:rPr>
        <w:t>对于决赛获奖的广东省内项目，其参赛核心专利可由各市市场监管局推荐参评广东专利奖，不占推荐名额</w:t>
      </w:r>
      <w:r>
        <w:rPr>
          <w:rFonts w:hint="eastAsia" w:ascii="宋体" w:hAnsi="宋体" w:eastAsia="宋体" w:cs="宋体"/>
          <w:color w:val="424242"/>
          <w:sz w:val="28"/>
          <w:szCs w:val="28"/>
          <w:shd w:val="clear" w:color="auto" w:fill="FFFFFF"/>
        </w:rPr>
        <w:t>。</w:t>
      </w:r>
    </w:p>
    <w:p w14:paraId="625E2B3F">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（五）对于大赛获奖的项目，参赛主体可以在其专利产品上标注“湾高赛”名称、LOGO及包含届次在内的规范奖项名称。</w:t>
      </w:r>
    </w:p>
    <w:p w14:paraId="4A47B307">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（六）参赛项目可免费参加大赛组织的各类对接会，与产业园区、服务机构、金融机构、资本市场等面对面对接交流，为参赛团队提供创造、运营、保护、服务等全方位支撑服务，助推参赛项目转化落地。</w:t>
      </w:r>
    </w:p>
    <w:p w14:paraId="4908E566">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七）参赛项目专利数据将纳入湾高赛专利数字资产运营平台统一管理，建立高价值专利数据资源库、人工智能专利价值评估等，实现包括融资对接、招商推荐、创业辅导等全链条的专业服务，为参赛项目专利转移转化提供大数据平台，推动湾高赛参赛项目常态化落地转化。</w:t>
      </w:r>
    </w:p>
    <w:p w14:paraId="755550E5">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Fonts w:hint="eastAsia" w:ascii="宋体" w:hAnsi="宋体" w:eastAsia="宋体" w:cs="宋体"/>
          <w:color w:val="424242"/>
          <w:sz w:val="28"/>
          <w:szCs w:val="28"/>
          <w:shd w:val="clear" w:color="auto" w:fill="FFFFFF"/>
        </w:rPr>
        <w:t>　　（</w:t>
      </w:r>
      <w:r>
        <w:rPr>
          <w:rFonts w:hint="eastAsia" w:ascii="宋体" w:hAnsi="宋体" w:eastAsia="宋体" w:cs="宋体"/>
          <w:color w:val="424242"/>
          <w:sz w:val="28"/>
          <w:szCs w:val="28"/>
          <w:shd w:val="clear" w:color="auto" w:fill="FFFFFF"/>
          <w:lang w:val="en-US" w:eastAsia="zh-CN"/>
        </w:rPr>
        <w:t>八</w:t>
      </w:r>
      <w:r>
        <w:rPr>
          <w:rFonts w:hint="eastAsia" w:ascii="宋体" w:hAnsi="宋体" w:eastAsia="宋体" w:cs="宋体"/>
          <w:color w:val="424242"/>
          <w:sz w:val="28"/>
          <w:szCs w:val="28"/>
          <w:shd w:val="clear" w:color="auto" w:fill="FFFFFF"/>
        </w:rPr>
        <w:t>）建立“湾高赛”开放许可专利资源库，相关参赛项目的优质专利将纳入该资源库库中，促进专利实施开放许可。</w:t>
      </w:r>
    </w:p>
    <w:p w14:paraId="650D4F09">
      <w:pPr>
        <w:pStyle w:val="2"/>
        <w:widowControl/>
        <w:shd w:val="clear" w:color="auto" w:fill="FFFFFF"/>
        <w:wordWrap w:val="0"/>
        <w:spacing w:beforeAutospacing="0" w:after="120" w:afterAutospacing="0" w:line="432" w:lineRule="atLeast"/>
        <w:jc w:val="both"/>
        <w:rPr>
          <w:rFonts w:ascii="宋体" w:hAnsi="宋体" w:eastAsia="宋体" w:cs="宋体"/>
          <w:color w:val="424242"/>
          <w:sz w:val="28"/>
          <w:szCs w:val="28"/>
        </w:rPr>
      </w:pPr>
      <w:r>
        <w:rPr>
          <w:rStyle w:val="5"/>
          <w:rFonts w:hint="eastAsia" w:ascii="宋体" w:hAnsi="宋体" w:eastAsia="宋体" w:cs="宋体"/>
          <w:color w:val="424242"/>
          <w:sz w:val="28"/>
          <w:szCs w:val="28"/>
          <w:shd w:val="clear" w:color="auto" w:fill="FFFFFF"/>
        </w:rPr>
        <w:t>　　九、媒体宣传</w:t>
      </w:r>
    </w:p>
    <w:p w14:paraId="76723DAB">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大赛将围绕每个活动环节，开展全方位、多角度、多层次、多媒体的立体宣传。在各大中央媒体、省级媒体、港澳媒体，中国知识产权报、中国知识产权资讯网、IPRdaily以及经济类专业媒体，广东市场监督管理局网站、湾高赛官网、湾高赛公众号等主办承办单位宣传渠道对大赛进行广泛宣传推广。</w:t>
      </w:r>
    </w:p>
    <w:p w14:paraId="283AFEB5">
      <w:pPr>
        <w:pStyle w:val="2"/>
        <w:widowControl/>
        <w:shd w:val="clear" w:color="auto" w:fill="FFFFFF"/>
        <w:wordWrap w:val="0"/>
        <w:spacing w:beforeAutospacing="0" w:after="120" w:afterAutospacing="0" w:line="432" w:lineRule="atLeast"/>
        <w:ind w:firstLine="560"/>
        <w:jc w:val="both"/>
        <w:rPr>
          <w:rFonts w:hint="eastAsia" w:ascii="宋体" w:hAnsi="宋体" w:eastAsia="宋体" w:cs="宋体"/>
          <w:color w:val="424242"/>
          <w:sz w:val="28"/>
          <w:szCs w:val="28"/>
          <w:shd w:val="clear" w:color="auto" w:fill="FFFFFF"/>
        </w:rPr>
      </w:pPr>
      <w:r>
        <w:rPr>
          <w:rFonts w:hint="eastAsia" w:ascii="宋体" w:hAnsi="宋体" w:eastAsia="宋体" w:cs="宋体"/>
          <w:color w:val="424242"/>
          <w:sz w:val="28"/>
          <w:szCs w:val="28"/>
          <w:shd w:val="clear" w:color="auto" w:fill="FFFFFF"/>
        </w:rPr>
        <w:t>将组织“湾高赛”双百强、百强及决赛获奖项目参与大赛巡讲及其他活动进行推介路演，大赛期间将组织相关媒体对决赛获奖项目进行重点宣传。</w:t>
      </w:r>
    </w:p>
    <w:p w14:paraId="7A4A1CAC">
      <w:pPr>
        <w:rPr>
          <w:rFonts w:ascii="宋体" w:hAnsi="宋体" w:eastAsia="宋体" w:cs="宋体"/>
          <w:sz w:val="28"/>
          <w:szCs w:val="28"/>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