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附件</w:t>
      </w:r>
      <w:r>
        <w:rPr>
          <w:rFonts w:hint="eastAsia"/>
          <w:lang w:eastAsia="zh-CN"/>
        </w:rPr>
        <w:t>一</w:t>
      </w:r>
    </w:p>
    <w:p>
      <w:pPr>
        <w:rPr>
          <w:rFonts w:hint="eastAsia"/>
        </w:rPr>
      </w:pPr>
      <w:bookmarkStart w:id="0" w:name="_GoBack"/>
      <w:bookmarkEnd w:id="0"/>
    </w:p>
    <w:p>
      <w:pPr>
        <w:jc w:val="center"/>
        <w:rPr>
          <w:rFonts w:hint="eastAsia"/>
        </w:rPr>
      </w:pPr>
      <w:r>
        <w:rPr>
          <w:rFonts w:hint="eastAsia"/>
          <w:b/>
          <w:bCs/>
          <w:sz w:val="28"/>
          <w:szCs w:val="28"/>
        </w:rPr>
        <w:t>2020年度国家法治与法学理论研究项目课题指引目录</w:t>
      </w:r>
    </w:p>
    <w:p>
      <w:pPr>
        <w:rPr>
          <w:rFonts w:hint="eastAsia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</w:rPr>
        <w:t>　　</w:t>
      </w:r>
      <w:r>
        <w:rPr>
          <w:rFonts w:hint="eastAsia"/>
          <w:sz w:val="24"/>
          <w:szCs w:val="24"/>
        </w:rPr>
        <w:t>一、全面依法治国理论与实践研究重点课题(申报方向)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1、习近平总书记全面依法治国新理念新思想新战略研究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2、法治建设与推进国家治理体系和治理能力现代化关系研究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3、公共卫生法律体系建设研究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4、健全国家应急管理法律体系研究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5、自由贸易港法律制度研究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6、民法典对立法执法司法法律服务的新要求研究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7、建立健全香港特别行政区维护国家安全的法律制度及执行机制研究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8、完善中国特色社会主义律师制度研究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9、推进行政复议体制改革研究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10、中国古代法制建设经验与优秀传统研究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11、黄河流域生态保护和高质量发展法治保障研究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12、粤港澳大湾区建设法治保障研究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二、一般课题(申报方向)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1、长三角区域一体化发展法治保障研究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2、长江经济带发展法治保障研究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3、构建国家生物安全法律法规体系研究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4、完善野生动物保护制度研究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5、一带一路沿线国家法律制度研究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6、一带一路建设过程中涉外法律服务人才培养机制研究</w:t>
      </w:r>
    </w:p>
    <w:p>
      <w:pPr>
        <w:rPr>
          <w:rFonts w:hint="eastAsia"/>
          <w:sz w:val="24"/>
          <w:szCs w:val="24"/>
        </w:rPr>
      </w:pP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7、法治社会建设评价指标体系研究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8、市域治理与公共法律服务体系现代化研究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9、我国城乡管理立法执法问题研究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10、中国特色法规规章备案审查制度研究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11、重大改革特别授权机制研究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12、人工智能开发应用相关法律问题研究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13、立法宣传和舆情应对工作机制研究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14、法治政府建设与行政法体系的完善研究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15、行政程序法研究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16、行政执法考核评价指标体系研究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17、行政裁决理论与实践研究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18、我国现行法律域外适用的标准和程序研究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19、禁诉令制度研究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20、优化营商环境法治保障研究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21、完善我国民商事仲裁法律制度研究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22、构建国际商事纠纷解决中心对策研究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23、构建公正合理透明的国际经贸规则体系研究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24、外国国家豁免法律制度研究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25、构建新时代大调解工作格局研究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26、国家法学教育职能优化配置研究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27、公证制度改革研究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28、司法鉴定公益属性研究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29、社区矫正法实施研究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30、现代化监狱治理体系构建研究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31、预防未成年人犯罪问题研究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32、我国强制隔离戒毒制度改革研究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　　33、司法行政(法律服务)案例相关问题研究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